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D882E" w14:textId="032AD541" w:rsidR="004E28F1" w:rsidRPr="006E0224" w:rsidRDefault="004E28F1" w:rsidP="004E28F1">
      <w:pPr>
        <w:tabs>
          <w:tab w:val="center" w:pos="4536"/>
          <w:tab w:val="right" w:pos="8280"/>
          <w:tab w:val="right" w:pos="9639"/>
        </w:tabs>
        <w:spacing w:after="0" w:line="240" w:lineRule="auto"/>
        <w:ind w:right="2"/>
        <w:jc w:val="left"/>
        <w:rPr>
          <w:rFonts w:ascii="Arial" w:eastAsia="바탕" w:hAnsi="Arial" w:cs="Arial"/>
          <w:b/>
          <w:bCs/>
          <w:sz w:val="24"/>
          <w:szCs w:val="24"/>
        </w:rPr>
      </w:pPr>
      <w:r w:rsidRPr="006E0224">
        <w:rPr>
          <w:rFonts w:ascii="Arial" w:eastAsia="바탕" w:hAnsi="Arial" w:cs="Arial"/>
          <w:b/>
          <w:bCs/>
          <w:sz w:val="24"/>
          <w:szCs w:val="24"/>
        </w:rPr>
        <w:t>3GPP TSG RAN WG1 #</w:t>
      </w:r>
      <w:r w:rsidR="009F5219" w:rsidRPr="006E0224">
        <w:rPr>
          <w:rFonts w:ascii="Arial" w:eastAsia="바탕" w:hAnsi="Arial" w:cs="Arial"/>
          <w:b/>
          <w:bCs/>
          <w:sz w:val="24"/>
          <w:szCs w:val="24"/>
        </w:rPr>
        <w:t>10</w:t>
      </w:r>
      <w:r w:rsidR="009F5219">
        <w:rPr>
          <w:rFonts w:ascii="Arial" w:eastAsia="바탕" w:hAnsi="Arial" w:cs="Arial"/>
          <w:b/>
          <w:bCs/>
          <w:sz w:val="24"/>
          <w:szCs w:val="24"/>
        </w:rPr>
        <w:t>6</w:t>
      </w:r>
      <w:r w:rsidRPr="006E0224">
        <w:rPr>
          <w:rFonts w:ascii="Arial" w:eastAsia="바탕" w:hAnsi="Arial" w:cs="Arial"/>
          <w:b/>
          <w:bCs/>
          <w:sz w:val="24"/>
          <w:szCs w:val="24"/>
        </w:rPr>
        <w:t>-e</w:t>
      </w:r>
      <w:r w:rsidRPr="006E0224">
        <w:rPr>
          <w:rFonts w:ascii="Arial" w:eastAsia="바탕" w:hAnsi="Arial" w:cs="Arial"/>
          <w:b/>
          <w:bCs/>
          <w:sz w:val="24"/>
          <w:szCs w:val="24"/>
        </w:rPr>
        <w:tab/>
      </w:r>
      <w:r w:rsidRPr="006E0224">
        <w:rPr>
          <w:rFonts w:ascii="Arial" w:eastAsia="바탕" w:hAnsi="Arial" w:cs="Arial"/>
          <w:b/>
          <w:bCs/>
          <w:sz w:val="24"/>
          <w:szCs w:val="24"/>
        </w:rPr>
        <w:tab/>
        <w:t xml:space="preserve">                         </w:t>
      </w:r>
      <w:r>
        <w:rPr>
          <w:rFonts w:ascii="Arial" w:eastAsia="바탕" w:hAnsi="Arial" w:cs="Arial"/>
          <w:b/>
          <w:bCs/>
          <w:sz w:val="24"/>
          <w:szCs w:val="24"/>
        </w:rPr>
        <w:t xml:space="preserve">      </w:t>
      </w:r>
      <w:r w:rsidRPr="006E0224">
        <w:rPr>
          <w:rFonts w:ascii="Arial" w:eastAsia="바탕" w:hAnsi="Arial" w:cs="Arial"/>
          <w:b/>
          <w:bCs/>
          <w:sz w:val="24"/>
          <w:szCs w:val="24"/>
        </w:rPr>
        <w:t>R1-</w:t>
      </w:r>
      <w:r w:rsidR="009F5219" w:rsidRPr="009F5219">
        <w:rPr>
          <w:rFonts w:ascii="Arial" w:eastAsia="바탕" w:hAnsi="Arial" w:cs="Arial"/>
          <w:b/>
          <w:bCs/>
          <w:sz w:val="24"/>
          <w:szCs w:val="24"/>
        </w:rPr>
        <w:t>2107462</w:t>
      </w:r>
    </w:p>
    <w:p w14:paraId="4BBE0668" w14:textId="64B481D6" w:rsidR="004E28F1" w:rsidRPr="008C04E2" w:rsidRDefault="004E28F1" w:rsidP="004E28F1">
      <w:pPr>
        <w:tabs>
          <w:tab w:val="center" w:pos="4536"/>
          <w:tab w:val="right" w:pos="9072"/>
        </w:tabs>
        <w:spacing w:after="0" w:line="240" w:lineRule="auto"/>
        <w:jc w:val="left"/>
        <w:rPr>
          <w:rFonts w:ascii="Arial" w:hAnsi="Arial" w:cs="Arial"/>
          <w:b/>
          <w:bCs/>
          <w:sz w:val="28"/>
          <w:szCs w:val="24"/>
          <w:lang w:eastAsia="ja-JP"/>
        </w:rPr>
      </w:pPr>
      <w:r w:rsidRPr="006E0224">
        <w:rPr>
          <w:rFonts w:ascii="Arial" w:hAnsi="Arial" w:cs="Arial"/>
          <w:b/>
          <w:bCs/>
          <w:sz w:val="24"/>
          <w:szCs w:val="24"/>
          <w:lang w:eastAsia="ja-JP"/>
        </w:rPr>
        <w:t xml:space="preserve">e-Meeting, </w:t>
      </w:r>
      <w:r w:rsidR="009F5219" w:rsidRPr="00F33770">
        <w:rPr>
          <w:rFonts w:ascii="Arial" w:hAnsi="Arial" w:cs="Arial"/>
          <w:b/>
          <w:bCs/>
          <w:sz w:val="24"/>
          <w:szCs w:val="24"/>
          <w:lang w:eastAsia="ja-JP"/>
        </w:rPr>
        <w:t>August 16</w:t>
      </w:r>
      <w:r w:rsidR="009F5219" w:rsidRPr="00F33770">
        <w:rPr>
          <w:rFonts w:ascii="Arial" w:hAnsi="Arial" w:cs="Arial"/>
          <w:b/>
          <w:bCs/>
          <w:sz w:val="24"/>
          <w:szCs w:val="24"/>
          <w:vertAlign w:val="superscript"/>
          <w:lang w:eastAsia="ja-JP"/>
        </w:rPr>
        <w:t>th</w:t>
      </w:r>
      <w:r w:rsidR="009F5219" w:rsidRPr="00F33770">
        <w:rPr>
          <w:rFonts w:ascii="Arial" w:hAnsi="Arial" w:cs="Arial"/>
          <w:b/>
          <w:bCs/>
          <w:sz w:val="24"/>
          <w:szCs w:val="24"/>
          <w:lang w:eastAsia="ja-JP"/>
        </w:rPr>
        <w:t xml:space="preserve"> – 27</w:t>
      </w:r>
      <w:r w:rsidR="009F5219" w:rsidRPr="00F33770">
        <w:rPr>
          <w:rFonts w:ascii="Arial" w:hAnsi="Arial" w:cs="Arial"/>
          <w:b/>
          <w:bCs/>
          <w:sz w:val="24"/>
          <w:szCs w:val="24"/>
          <w:vertAlign w:val="superscript"/>
          <w:lang w:eastAsia="ja-JP"/>
        </w:rPr>
        <w:t>th</w:t>
      </w:r>
      <w:r w:rsidR="009F5219" w:rsidRPr="00F33770">
        <w:rPr>
          <w:rFonts w:ascii="Arial" w:hAnsi="Arial" w:cs="Arial"/>
          <w:b/>
          <w:bCs/>
          <w:sz w:val="24"/>
          <w:szCs w:val="24"/>
          <w:lang w:eastAsia="ja-JP"/>
        </w:rPr>
        <w:t>, 2021</w:t>
      </w:r>
    </w:p>
    <w:p w14:paraId="2F2C2171" w14:textId="77777777" w:rsidR="007A1090" w:rsidRPr="008F6557" w:rsidRDefault="007A1090" w:rsidP="007A1090">
      <w:pPr>
        <w:tabs>
          <w:tab w:val="left" w:pos="1985"/>
        </w:tabs>
        <w:spacing w:after="0"/>
        <w:rPr>
          <w:rFonts w:ascii="Arial" w:eastAsia="맑은 고딕" w:hAnsi="Arial"/>
          <w:b/>
          <w:sz w:val="24"/>
        </w:rPr>
      </w:pPr>
    </w:p>
    <w:p w14:paraId="4B0BB2DC" w14:textId="1398B31B" w:rsidR="007A1090" w:rsidRPr="008F6557" w:rsidRDefault="007A1090" w:rsidP="007A1090">
      <w:pPr>
        <w:tabs>
          <w:tab w:val="left" w:pos="1985"/>
        </w:tabs>
        <w:spacing w:after="0"/>
        <w:rPr>
          <w:rFonts w:ascii="Arial" w:eastAsia="바탕" w:hAnsi="Arial"/>
          <w:sz w:val="24"/>
        </w:rPr>
      </w:pPr>
      <w:r w:rsidRPr="008F6557">
        <w:rPr>
          <w:rFonts w:ascii="Arial" w:hAnsi="Arial"/>
          <w:b/>
          <w:sz w:val="24"/>
        </w:rPr>
        <w:t>Agenda Item:</w:t>
      </w:r>
      <w:r w:rsidRPr="008F6557">
        <w:rPr>
          <w:rFonts w:ascii="Arial" w:hAnsi="Arial"/>
          <w:sz w:val="24"/>
        </w:rPr>
        <w:tab/>
      </w:r>
      <w:r w:rsidR="00EB1B79" w:rsidRPr="008F6557">
        <w:rPr>
          <w:rFonts w:ascii="Arial" w:eastAsia="맑은 고딕" w:hAnsi="Arial"/>
          <w:sz w:val="24"/>
        </w:rPr>
        <w:t>8.14.2</w:t>
      </w:r>
    </w:p>
    <w:p w14:paraId="1AD96E5A" w14:textId="77777777" w:rsidR="007A1090" w:rsidRPr="008F6557" w:rsidRDefault="007A1090" w:rsidP="007A1090">
      <w:pPr>
        <w:tabs>
          <w:tab w:val="left" w:pos="1985"/>
        </w:tabs>
        <w:spacing w:after="0"/>
        <w:rPr>
          <w:rFonts w:ascii="Arial" w:eastAsia="바탕" w:hAnsi="Arial"/>
          <w:sz w:val="24"/>
        </w:rPr>
      </w:pPr>
      <w:r w:rsidRPr="008F6557">
        <w:rPr>
          <w:rFonts w:ascii="Arial" w:hAnsi="Arial"/>
          <w:b/>
          <w:sz w:val="24"/>
        </w:rPr>
        <w:t xml:space="preserve">Source: </w:t>
      </w:r>
      <w:r w:rsidRPr="008F6557">
        <w:rPr>
          <w:rFonts w:ascii="Arial" w:hAnsi="Arial"/>
          <w:b/>
          <w:sz w:val="24"/>
        </w:rPr>
        <w:tab/>
      </w:r>
      <w:r w:rsidRPr="008F6557">
        <w:rPr>
          <w:rFonts w:ascii="Arial" w:eastAsia="바탕" w:hAnsi="Arial"/>
          <w:sz w:val="24"/>
        </w:rPr>
        <w:t>LG Electronics</w:t>
      </w:r>
    </w:p>
    <w:p w14:paraId="226B30AA" w14:textId="05C54BFA" w:rsidR="007A1090" w:rsidRPr="008F6557" w:rsidRDefault="007A1090" w:rsidP="007A1090">
      <w:pPr>
        <w:tabs>
          <w:tab w:val="left" w:pos="1985"/>
        </w:tabs>
        <w:spacing w:after="0"/>
        <w:ind w:left="480" w:hangingChars="200" w:hanging="480"/>
        <w:rPr>
          <w:rFonts w:ascii="Arial" w:eastAsia="바탕" w:hAnsi="Arial" w:cs="Arial"/>
          <w:sz w:val="24"/>
          <w:szCs w:val="24"/>
        </w:rPr>
      </w:pPr>
      <w:r w:rsidRPr="008F6557">
        <w:rPr>
          <w:rFonts w:ascii="Arial" w:hAnsi="Arial"/>
          <w:b/>
          <w:sz w:val="24"/>
        </w:rPr>
        <w:t>Title:</w:t>
      </w:r>
      <w:r w:rsidRPr="008F6557">
        <w:rPr>
          <w:rFonts w:ascii="Arial" w:hAnsi="Arial"/>
          <w:sz w:val="24"/>
        </w:rPr>
        <w:t xml:space="preserve"> </w:t>
      </w:r>
      <w:r w:rsidRPr="008F6557">
        <w:rPr>
          <w:rFonts w:ascii="Arial" w:hAnsi="Arial"/>
          <w:sz w:val="24"/>
        </w:rPr>
        <w:tab/>
      </w:r>
      <w:r w:rsidR="006935C7" w:rsidRPr="006935C7">
        <w:rPr>
          <w:rFonts w:ascii="Arial" w:hAnsi="Arial"/>
          <w:sz w:val="24"/>
        </w:rPr>
        <w:t>Discussion on evaluation methodologies for XR</w:t>
      </w:r>
    </w:p>
    <w:p w14:paraId="0536A58E" w14:textId="77777777" w:rsidR="007A1090" w:rsidRPr="008F6557" w:rsidRDefault="007A1090" w:rsidP="007A1090">
      <w:pPr>
        <w:pBdr>
          <w:bottom w:val="single" w:sz="12" w:space="1" w:color="auto"/>
        </w:pBdr>
        <w:tabs>
          <w:tab w:val="left" w:pos="1985"/>
        </w:tabs>
        <w:rPr>
          <w:rFonts w:ascii="Arial" w:eastAsia="바탕" w:hAnsi="Arial"/>
          <w:sz w:val="24"/>
        </w:rPr>
      </w:pPr>
      <w:r w:rsidRPr="008F6557">
        <w:rPr>
          <w:rFonts w:ascii="Arial" w:hAnsi="Arial"/>
          <w:b/>
          <w:sz w:val="24"/>
        </w:rPr>
        <w:t>Document for:</w:t>
      </w:r>
      <w:r w:rsidRPr="008F6557">
        <w:rPr>
          <w:rFonts w:ascii="Arial" w:hAnsi="Arial"/>
          <w:sz w:val="24"/>
        </w:rPr>
        <w:tab/>
      </w:r>
      <w:r w:rsidRPr="008F6557">
        <w:rPr>
          <w:rFonts w:ascii="Arial" w:eastAsia="바탕" w:hAnsi="Arial"/>
          <w:sz w:val="24"/>
        </w:rPr>
        <w:t>Discussion</w:t>
      </w:r>
      <w:bookmarkStart w:id="0" w:name="Source"/>
      <w:bookmarkStart w:id="1" w:name="Title"/>
      <w:bookmarkStart w:id="2" w:name="DocumentFor"/>
      <w:bookmarkEnd w:id="0"/>
      <w:bookmarkEnd w:id="1"/>
      <w:bookmarkEnd w:id="2"/>
      <w:r w:rsidRPr="008F6557">
        <w:rPr>
          <w:rFonts w:ascii="Arial" w:eastAsia="바탕" w:hAnsi="Arial"/>
          <w:sz w:val="24"/>
        </w:rPr>
        <w:t xml:space="preserve"> and decision</w:t>
      </w:r>
    </w:p>
    <w:p w14:paraId="1C79EA1E" w14:textId="77777777" w:rsidR="00F0147F" w:rsidRPr="008F6557" w:rsidRDefault="00152094" w:rsidP="00F0147F">
      <w:pPr>
        <w:pStyle w:val="1"/>
        <w:numPr>
          <w:ilvl w:val="0"/>
          <w:numId w:val="1"/>
        </w:numPr>
        <w:rPr>
          <w:rFonts w:eastAsia="바탕"/>
          <w:b/>
          <w:lang w:eastAsia="ko-KR"/>
        </w:rPr>
      </w:pPr>
      <w:r w:rsidRPr="008F6557">
        <w:rPr>
          <w:rFonts w:eastAsia="바탕" w:hint="eastAsia"/>
          <w:b/>
          <w:lang w:eastAsia="ko-KR"/>
        </w:rPr>
        <w:t>Introduction</w:t>
      </w:r>
    </w:p>
    <w:p w14:paraId="0C1736DA" w14:textId="61007ADA" w:rsidR="00813CD0" w:rsidRPr="008F6557"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w:t>
      </w:r>
      <w:r w:rsidR="007A1090" w:rsidRPr="008F6557">
        <w:rPr>
          <w:rFonts w:ascii="Times New Roman" w:eastAsia="바탕" w:hAnsi="Times New Roman" w:cs="Times New Roman"/>
          <w:kern w:val="0"/>
          <w:sz w:val="22"/>
          <w:lang w:val="en-GB"/>
        </w:rPr>
        <w:t xml:space="preserve">RAN#86 meeting, RAN1 Rel-17 study item was approved for XR evaluation for NR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_Ref68661514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AF387F">
        <w:rPr>
          <w:rFonts w:ascii="Times New Roman" w:eastAsia="바탕" w:hAnsi="Times New Roman" w:cs="Times New Roman"/>
          <w:kern w:val="0"/>
          <w:sz w:val="22"/>
          <w:lang w:val="en-GB"/>
        </w:rPr>
        <w:t>[1]</w:t>
      </w:r>
      <w:r w:rsidR="004E28F1">
        <w:rPr>
          <w:rFonts w:ascii="Times New Roman" w:eastAsia="바탕" w:hAnsi="Times New Roman" w:cs="Times New Roman"/>
          <w:kern w:val="0"/>
          <w:sz w:val="22"/>
          <w:lang w:val="en-GB"/>
        </w:rPr>
        <w:fldChar w:fldCharType="end"/>
      </w:r>
      <w:r w:rsidR="007A1090" w:rsidRPr="008F6557">
        <w:rPr>
          <w:rFonts w:ascii="Times New Roman" w:eastAsia="바탕" w:hAnsi="Times New Roman" w:cs="Times New Roman"/>
          <w:kern w:val="0"/>
          <w:sz w:val="22"/>
          <w:lang w:val="en-GB"/>
        </w:rPr>
        <w:t>. The objective of the study item is as follows.</w:t>
      </w:r>
    </w:p>
    <w:tbl>
      <w:tblPr>
        <w:tblStyle w:val="a7"/>
        <w:tblW w:w="0" w:type="auto"/>
        <w:tblLook w:val="04A0" w:firstRow="1" w:lastRow="0" w:firstColumn="1" w:lastColumn="0" w:noHBand="0" w:noVBand="1"/>
      </w:tblPr>
      <w:tblGrid>
        <w:gridCol w:w="9628"/>
      </w:tblGrid>
      <w:tr w:rsidR="00813CD0" w:rsidRPr="008F6557" w14:paraId="390836FF" w14:textId="77777777" w:rsidTr="00F40EA1">
        <w:tc>
          <w:tcPr>
            <w:tcW w:w="9628" w:type="dxa"/>
          </w:tcPr>
          <w:p w14:paraId="719FF447"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VR1: “Viewport dependent streaming”</w:t>
            </w:r>
          </w:p>
          <w:p w14:paraId="4B829851"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AR1: “XR Distributed Computing”</w:t>
            </w:r>
          </w:p>
          <w:p w14:paraId="4449659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AR2: “XR Conversational”</w:t>
            </w:r>
          </w:p>
          <w:p w14:paraId="4ECA8B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CG: Cloud Gaming</w:t>
            </w:r>
          </w:p>
          <w:p w14:paraId="4B4AF25A"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characteristics</w:t>
            </w:r>
            <w:r w:rsidRPr="008F6557">
              <w:rPr>
                <w:rFonts w:ascii="Times New Roman" w:eastAsia="맑은 고딕" w:hAnsi="Times New Roman" w:cs="Times New Roman"/>
                <w:bCs/>
                <w:kern w:val="0"/>
                <w:szCs w:val="20"/>
                <w:lang w:val="en-GB" w:eastAsia="en-GB"/>
              </w:rPr>
              <w:t>:</w:t>
            </w:r>
          </w:p>
          <w:p w14:paraId="20E24F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requirements</w:t>
            </w:r>
            <w:r w:rsidRPr="008F6557">
              <w:rPr>
                <w:rFonts w:ascii="Times New Roman" w:eastAsia="맑은 고딕" w:hAnsi="Times New Roman" w:cs="Times New Roman"/>
                <w:bCs/>
                <w:kern w:val="0"/>
                <w:szCs w:val="20"/>
                <w:lang w:val="en-GB" w:eastAsia="en-GB"/>
              </w:rPr>
              <w:t xml:space="preserve">: </w:t>
            </w:r>
          </w:p>
          <w:p w14:paraId="4E46AC6C"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Packet error rate (PER)</w:t>
            </w:r>
          </w:p>
          <w:p w14:paraId="387F71B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F6557"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 </w:t>
            </w:r>
          </w:p>
          <w:p w14:paraId="722F01A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F6557"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F6557">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6A75E69E" w:rsidR="007A1090" w:rsidRPr="008F6557"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F6557">
        <w:rPr>
          <w:rFonts w:ascii="Times New Roman" w:eastAsia="바탕" w:hAnsi="Times New Roman" w:cs="Times New Roman"/>
          <w:kern w:val="0"/>
          <w:sz w:val="22"/>
          <w:lang w:val="en-GB"/>
        </w:rPr>
        <w:t>should be</w:t>
      </w:r>
      <w:r w:rsidRPr="008F6557">
        <w:rPr>
          <w:rFonts w:ascii="Times New Roman" w:eastAsia="바탕" w:hAnsi="Times New Roman" w:cs="Times New Roman"/>
          <w:kern w:val="0"/>
          <w:sz w:val="22"/>
          <w:lang w:val="en-GB"/>
        </w:rPr>
        <w:t xml:space="preserve"> based on </w:t>
      </w:r>
      <w:r w:rsidR="00B02BEA" w:rsidRPr="008F6557">
        <w:rPr>
          <w:rFonts w:ascii="Times New Roman" w:eastAsia="바탕" w:hAnsi="Times New Roman" w:cs="Times New Roman"/>
          <w:kern w:val="0"/>
          <w:sz w:val="22"/>
          <w:lang w:val="en-GB"/>
        </w:rPr>
        <w:t xml:space="preserve">the </w:t>
      </w:r>
      <w:r w:rsidRPr="008F6557">
        <w:rPr>
          <w:rFonts w:ascii="Times New Roman" w:eastAsia="바탕" w:hAnsi="Times New Roman" w:cs="Times New Roman"/>
          <w:kern w:val="0"/>
          <w:sz w:val="22"/>
          <w:lang w:val="en-GB"/>
        </w:rPr>
        <w:t xml:space="preserve">output of SA WG4, where XR system </w:t>
      </w:r>
      <w:r w:rsidR="00754893" w:rsidRPr="008F6557">
        <w:rPr>
          <w:rFonts w:ascii="Times New Roman" w:eastAsia="바탕" w:hAnsi="Times New Roman" w:cs="Times New Roman"/>
          <w:kern w:val="0"/>
          <w:sz w:val="22"/>
          <w:lang w:val="en-GB"/>
        </w:rPr>
        <w:t xml:space="preserve">design </w:t>
      </w:r>
      <w:r w:rsidRPr="008F6557">
        <w:rPr>
          <w:rFonts w:ascii="Times New Roman" w:eastAsia="바탕" w:hAnsi="Times New Roman" w:cs="Times New Roman"/>
          <w:kern w:val="0"/>
          <w:sz w:val="22"/>
          <w:lang w:val="en-GB"/>
        </w:rPr>
        <w:t>model and the corresponding traffic model are under development in the study item</w:t>
      </w:r>
      <w:r w:rsidR="00754893" w:rsidRPr="008F6557">
        <w:rPr>
          <w:rFonts w:ascii="Times New Roman" w:eastAsia="바탕" w:hAnsi="Times New Roman" w:cs="Times New Roman"/>
          <w:kern w:val="0"/>
          <w:sz w:val="22"/>
          <w:lang w:val="en-GB"/>
        </w:rPr>
        <w:t xml:space="preserve"> ‘Feasibility Study on Typical Traffic Characteristics for XR Services and other Media’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_Ref68661564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AF387F">
        <w:rPr>
          <w:rFonts w:ascii="Times New Roman" w:eastAsia="바탕" w:hAnsi="Times New Roman" w:cs="Times New Roman"/>
          <w:kern w:val="0"/>
          <w:sz w:val="22"/>
          <w:lang w:val="en-GB"/>
        </w:rPr>
        <w:t>[2]</w:t>
      </w:r>
      <w:r w:rsidR="004E28F1">
        <w:rPr>
          <w:rFonts w:ascii="Times New Roman" w:eastAsia="바탕" w:hAnsi="Times New Roman" w:cs="Times New Roman"/>
          <w:kern w:val="0"/>
          <w:sz w:val="22"/>
          <w:lang w:val="en-GB"/>
        </w:rPr>
        <w:fldChar w:fldCharType="end"/>
      </w:r>
      <w:r w:rsidRPr="008F6557">
        <w:rPr>
          <w:rFonts w:ascii="Times New Roman" w:eastAsia="바탕" w:hAnsi="Times New Roman" w:cs="Times New Roman"/>
          <w:kern w:val="0"/>
          <w:sz w:val="22"/>
          <w:lang w:val="en-GB"/>
        </w:rPr>
        <w:t>.</w:t>
      </w:r>
      <w:r w:rsidR="00CC6B0E" w:rsidRPr="008F6557">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Viewport independent Streaming</w:t>
      </w:r>
    </w:p>
    <w:p w14:paraId="7F77CC72" w14:textId="0EB1D4E3"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Viewport dependent Streaming </w:t>
      </w:r>
    </w:p>
    <w:p w14:paraId="2F73F389" w14:textId="77777777" w:rsidR="00102EA8" w:rsidRPr="008F6557"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Raster-based Split Rendering </w:t>
      </w:r>
    </w:p>
    <w:p w14:paraId="2503E15B" w14:textId="782E9E1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Cloud gaming</w:t>
      </w:r>
    </w:p>
    <w:p w14:paraId="20E931BC" w14:textId="77777777"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MTSI-based XR conversational services</w:t>
      </w:r>
    </w:p>
    <w:p w14:paraId="2D25AC53" w14:textId="20531E7F" w:rsidR="007A1090" w:rsidRPr="008F6557" w:rsidRDefault="00F37DA6"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RAN1 has started the study item work from RAN1#103-e meeting</w:t>
      </w:r>
      <w:r w:rsidR="004D0F87" w:rsidRPr="008F6557">
        <w:rPr>
          <w:rFonts w:ascii="Times New Roman" w:eastAsia="바탕" w:hAnsi="Times New Roman" w:cs="Times New Roman"/>
          <w:kern w:val="0"/>
          <w:sz w:val="22"/>
          <w:lang w:val="en-GB"/>
        </w:rPr>
        <w:t xml:space="preserve">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_Ref68661583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AF387F">
        <w:rPr>
          <w:rFonts w:ascii="Times New Roman" w:eastAsia="바탕" w:hAnsi="Times New Roman" w:cs="Times New Roman"/>
          <w:kern w:val="0"/>
          <w:sz w:val="22"/>
          <w:lang w:val="en-GB"/>
        </w:rPr>
        <w:t>[3]</w:t>
      </w:r>
      <w:r w:rsidR="004E28F1">
        <w:rPr>
          <w:rFonts w:ascii="Times New Roman" w:eastAsia="바탕" w:hAnsi="Times New Roman" w:cs="Times New Roman"/>
          <w:kern w:val="0"/>
          <w:sz w:val="22"/>
          <w:lang w:val="en-GB"/>
        </w:rPr>
        <w:fldChar w:fldCharType="end"/>
      </w:r>
      <w:r w:rsidRPr="008F6557">
        <w:rPr>
          <w:rFonts w:ascii="Times New Roman" w:eastAsia="바탕" w:hAnsi="Times New Roman" w:cs="Times New Roman"/>
          <w:kern w:val="0"/>
          <w:sz w:val="22"/>
          <w:lang w:val="en-GB"/>
        </w:rPr>
        <w:t xml:space="preserve">, where the work is initially focused on the evaluation assumptions including </w:t>
      </w:r>
      <w:r w:rsidR="004C1269" w:rsidRPr="008F6557">
        <w:rPr>
          <w:rFonts w:ascii="Times New Roman" w:eastAsia="바탕" w:hAnsi="Times New Roman" w:cs="Times New Roman"/>
          <w:kern w:val="0"/>
          <w:sz w:val="22"/>
          <w:lang w:val="en-GB"/>
        </w:rPr>
        <w:t>XR applications, traffic model and evaluation methodology.</w:t>
      </w:r>
    </w:p>
    <w:p w14:paraId="490AE6FE" w14:textId="77777777" w:rsidR="007A1090" w:rsidRPr="008F6557" w:rsidRDefault="007A1090" w:rsidP="00B47867">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F6557" w:rsidRDefault="00A958EA" w:rsidP="00DB2E92">
      <w:pPr>
        <w:pStyle w:val="1"/>
        <w:numPr>
          <w:ilvl w:val="0"/>
          <w:numId w:val="1"/>
        </w:numPr>
        <w:rPr>
          <w:rFonts w:eastAsia="바탕"/>
          <w:b/>
          <w:lang w:eastAsia="ko-KR"/>
        </w:rPr>
      </w:pPr>
      <w:r w:rsidRPr="008F6557">
        <w:rPr>
          <w:rFonts w:eastAsia="바탕"/>
          <w:b/>
          <w:lang w:eastAsia="ko-KR"/>
        </w:rPr>
        <w:t>Discussion</w:t>
      </w:r>
    </w:p>
    <w:p w14:paraId="52B330E6" w14:textId="3A63A142" w:rsidR="00C54512" w:rsidRDefault="00C54512"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Regarding coverage evaluation, t</w:t>
      </w:r>
      <w:r w:rsidR="00A958EA" w:rsidRPr="008F6557">
        <w:rPr>
          <w:rFonts w:ascii="Times New Roman" w:eastAsia="바탕" w:hAnsi="Times New Roman" w:cs="Times New Roman" w:hint="eastAsia"/>
          <w:kern w:val="0"/>
          <w:sz w:val="22"/>
          <w:lang w:val="en-GB"/>
        </w:rPr>
        <w:t xml:space="preserve">he following </w:t>
      </w:r>
      <w:r>
        <w:rPr>
          <w:rFonts w:ascii="Times New Roman" w:eastAsia="바탕" w:hAnsi="Times New Roman" w:cs="Times New Roman"/>
          <w:kern w:val="0"/>
          <w:sz w:val="22"/>
          <w:lang w:val="en-GB"/>
        </w:rPr>
        <w:t>note was captured in the Chairman’s Note in RAN1#105-e meeting</w:t>
      </w:r>
      <w:r w:rsidR="00AF387F">
        <w:rPr>
          <w:rFonts w:ascii="Times New Roman" w:eastAsia="바탕" w:hAnsi="Times New Roman" w:cs="Times New Roman"/>
          <w:kern w:val="0"/>
          <w:sz w:val="22"/>
          <w:lang w:val="en-GB"/>
        </w:rPr>
        <w:t>.</w:t>
      </w:r>
    </w:p>
    <w:tbl>
      <w:tblPr>
        <w:tblStyle w:val="a7"/>
        <w:tblW w:w="0" w:type="auto"/>
        <w:tblLook w:val="04A0" w:firstRow="1" w:lastRow="0" w:firstColumn="1" w:lastColumn="0" w:noHBand="0" w:noVBand="1"/>
      </w:tblPr>
      <w:tblGrid>
        <w:gridCol w:w="9628"/>
      </w:tblGrid>
      <w:tr w:rsidR="00C54512" w:rsidRPr="006B2578" w14:paraId="79DDEF86" w14:textId="77777777" w:rsidTr="00F33770">
        <w:tc>
          <w:tcPr>
            <w:tcW w:w="9628" w:type="dxa"/>
          </w:tcPr>
          <w:p w14:paraId="312DD59D" w14:textId="77777777" w:rsidR="00C54512" w:rsidRPr="00C41A7F" w:rsidRDefault="00C54512" w:rsidP="00C54512">
            <w:pPr>
              <w:widowControl/>
              <w:wordWrap/>
              <w:autoSpaceDE/>
              <w:autoSpaceDN/>
              <w:rPr>
                <w:rFonts w:ascii="Times New Roman" w:eastAsia="Times New Roman" w:hAnsi="Times New Roman" w:cs="Times New Roman"/>
                <w:b/>
                <w:bCs/>
                <w:kern w:val="0"/>
                <w:sz w:val="22"/>
                <w:lang w:val="en-GB" w:eastAsia="en-US"/>
              </w:rPr>
            </w:pPr>
            <w:r w:rsidRPr="00C41A7F">
              <w:rPr>
                <w:rFonts w:ascii="Times New Roman" w:eastAsia="Times New Roman" w:hAnsi="Times New Roman" w:cs="Times New Roman"/>
                <w:b/>
                <w:bCs/>
                <w:kern w:val="0"/>
                <w:sz w:val="22"/>
                <w:lang w:val="en-GB" w:eastAsia="en-US"/>
              </w:rPr>
              <w:t>For companies to further study and if necessary, discuss in RAN1#106-e</w:t>
            </w:r>
          </w:p>
          <w:p w14:paraId="4668B74F" w14:textId="77777777" w:rsidR="00C54512" w:rsidRPr="00C41A7F" w:rsidRDefault="00C54512" w:rsidP="00C54512">
            <w:pPr>
              <w:widowControl/>
              <w:wordWrap/>
              <w:autoSpaceDE/>
              <w:autoSpaceDN/>
              <w:rPr>
                <w:rFonts w:ascii="Times New Roman" w:eastAsia="Times New Roman" w:hAnsi="Times New Roman" w:cs="Times New Roman"/>
                <w:kern w:val="0"/>
                <w:sz w:val="22"/>
                <w:lang w:val="en-GB" w:eastAsia="en-US"/>
              </w:rPr>
            </w:pPr>
            <w:r w:rsidRPr="00C41A7F">
              <w:rPr>
                <w:rFonts w:ascii="Times New Roman" w:eastAsia="Times New Roman" w:hAnsi="Times New Roman" w:cs="Times New Roman"/>
                <w:b/>
                <w:bCs/>
                <w:kern w:val="0"/>
                <w:sz w:val="22"/>
                <w:lang w:val="en-GB" w:eastAsia="en-US"/>
              </w:rPr>
              <w:t xml:space="preserve">(Coverage evaluation methodology) </w:t>
            </w:r>
            <w:r w:rsidRPr="00C41A7F">
              <w:rPr>
                <w:rFonts w:ascii="Times New Roman" w:eastAsia="Times New Roman" w:hAnsi="Times New Roman" w:cs="Times New Roman"/>
                <w:kern w:val="0"/>
                <w:sz w:val="22"/>
                <w:lang w:val="en-GB" w:eastAsia="en-US"/>
              </w:rPr>
              <w:t>For XR/CG in DL or UL, coverage is defined to be the A-percentile point in CDF of Coupling gain for the “satisfied” UEs, with #UEs per cell = B, for a given XR application (AR/VR/CG) in a given deployment scenario (DU/InH/UMa)</w:t>
            </w:r>
          </w:p>
          <w:p w14:paraId="3A4D3248" w14:textId="77777777" w:rsidR="00C54512" w:rsidRPr="00C41A7F" w:rsidRDefault="00C54512" w:rsidP="00C54512">
            <w:pPr>
              <w:widowControl/>
              <w:numPr>
                <w:ilvl w:val="0"/>
                <w:numId w:val="52"/>
              </w:numPr>
              <w:wordWrap/>
              <w:autoSpaceDE/>
              <w:autoSpaceDN/>
              <w:rPr>
                <w:rFonts w:ascii="Times New Roman" w:eastAsia="Times New Roman" w:hAnsi="Times New Roman" w:cs="Times New Roman"/>
                <w:kern w:val="0"/>
                <w:sz w:val="22"/>
                <w:lang w:val="en-GB" w:eastAsia="en-US"/>
              </w:rPr>
            </w:pPr>
            <w:r w:rsidRPr="00C41A7F">
              <w:rPr>
                <w:rFonts w:ascii="Times New Roman" w:eastAsia="Times New Roman" w:hAnsi="Times New Roman" w:cs="Times New Roman"/>
                <w:kern w:val="0"/>
                <w:sz w:val="22"/>
                <w:lang w:val="en-GB" w:eastAsia="en-US"/>
              </w:rPr>
              <w:t>A = [5], other value can also be reported</w:t>
            </w:r>
          </w:p>
          <w:p w14:paraId="3E8ED32A" w14:textId="77777777" w:rsidR="00C54512" w:rsidRPr="00C41A7F" w:rsidRDefault="00C54512" w:rsidP="00C54512">
            <w:pPr>
              <w:widowControl/>
              <w:numPr>
                <w:ilvl w:val="0"/>
                <w:numId w:val="52"/>
              </w:numPr>
              <w:wordWrap/>
              <w:autoSpaceDE/>
              <w:autoSpaceDN/>
              <w:rPr>
                <w:rFonts w:ascii="Times New Roman" w:eastAsia="Times New Roman" w:hAnsi="Times New Roman" w:cs="Times New Roman"/>
                <w:kern w:val="0"/>
                <w:sz w:val="22"/>
                <w:lang w:val="en-GB" w:eastAsia="en-US"/>
              </w:rPr>
            </w:pPr>
            <w:r w:rsidRPr="00C41A7F">
              <w:rPr>
                <w:rFonts w:ascii="Times New Roman" w:eastAsia="Times New Roman" w:hAnsi="Times New Roman" w:cs="Times New Roman"/>
                <w:kern w:val="0"/>
                <w:sz w:val="22"/>
                <w:lang w:val="en-GB" w:eastAsia="en-US"/>
              </w:rPr>
              <w:t xml:space="preserve">FFS: Value of B, </w:t>
            </w:r>
            <w:r w:rsidRPr="00C41A7F">
              <w:rPr>
                <w:rFonts w:ascii="Times New Roman" w:eastAsia="Times New Roman" w:hAnsi="Times New Roman" w:cs="Times New Roman"/>
                <w:color w:val="FF0000"/>
                <w:kern w:val="0"/>
                <w:sz w:val="22"/>
                <w:lang w:val="en-GB" w:eastAsia="en-US"/>
              </w:rPr>
              <w:t>e.g. B = 1, capacity, etc.</w:t>
            </w:r>
          </w:p>
          <w:p w14:paraId="0847D864" w14:textId="77777777" w:rsidR="00C54512" w:rsidRPr="00C41A7F" w:rsidRDefault="00C54512" w:rsidP="00C54512">
            <w:pPr>
              <w:widowControl/>
              <w:numPr>
                <w:ilvl w:val="0"/>
                <w:numId w:val="52"/>
              </w:numPr>
              <w:wordWrap/>
              <w:autoSpaceDE/>
              <w:autoSpaceDN/>
              <w:rPr>
                <w:rFonts w:ascii="Times New Roman" w:eastAsia="Times New Roman" w:hAnsi="Times New Roman" w:cs="Times New Roman"/>
                <w:kern w:val="0"/>
                <w:sz w:val="22"/>
                <w:lang w:val="en-GB" w:eastAsia="en-US"/>
              </w:rPr>
            </w:pPr>
            <w:r w:rsidRPr="00C41A7F">
              <w:rPr>
                <w:rFonts w:ascii="Times New Roman" w:eastAsia="Times New Roman" w:hAnsi="Times New Roman" w:cs="Times New Roman"/>
                <w:kern w:val="0"/>
                <w:sz w:val="22"/>
                <w:lang w:val="en-GB" w:eastAsia="en-US"/>
              </w:rPr>
              <w:t>Note: Coupling gain for coverage evaluation is defined as the ratio of received and transmitted power measured in dB, and includes antenna gains, path loss, shadowing, indoor- or body loss, etc. Example of coupling gain can refer to TR 37.910.</w:t>
            </w:r>
          </w:p>
          <w:p w14:paraId="0C10C18D" w14:textId="2B2842C6" w:rsidR="00C54512" w:rsidRPr="00C41A7F" w:rsidRDefault="00C54512" w:rsidP="00C41A7F">
            <w:pPr>
              <w:widowControl/>
              <w:wordWrap/>
              <w:autoSpaceDE/>
              <w:autoSpaceDN/>
              <w:rPr>
                <w:rFonts w:ascii="Times New Roman" w:eastAsia="PMingLiU" w:hAnsi="Times New Roman" w:cs="Times New Roman"/>
                <w:kern w:val="0"/>
                <w:sz w:val="22"/>
                <w:lang w:val="en-GB" w:eastAsia="zh-TW"/>
              </w:rPr>
            </w:pPr>
            <w:r w:rsidRPr="00C41A7F">
              <w:rPr>
                <w:rFonts w:ascii="Times New Roman" w:eastAsia="Times New Roman" w:hAnsi="Times New Roman" w:cs="Times New Roman"/>
                <w:kern w:val="0"/>
                <w:sz w:val="22"/>
                <w:lang w:val="en-GB" w:eastAsia="en-US"/>
              </w:rPr>
              <w:t>An alternate method could be to use the “traditional” method such as what is used in the CE study/work item.</w:t>
            </w:r>
          </w:p>
        </w:tc>
      </w:tr>
    </w:tbl>
    <w:p w14:paraId="2BACA5D9" w14:textId="7B65B8F6" w:rsidR="001B5FEA" w:rsidRDefault="00551DA8" w:rsidP="002502DD">
      <w:pPr>
        <w:widowControl/>
        <w:wordWrap/>
        <w:autoSpaceDE/>
        <w:autoSpaceDN/>
        <w:spacing w:before="120" w:after="120" w:line="240" w:lineRule="auto"/>
        <w:rPr>
          <w:rFonts w:ascii="Times New Roman" w:eastAsia="바탕" w:hAnsi="Times New Roman" w:cs="Times New Roman"/>
          <w:kern w:val="0"/>
          <w:sz w:val="22"/>
        </w:rPr>
      </w:pPr>
      <w:r>
        <w:rPr>
          <w:rFonts w:ascii="Times New Roman" w:eastAsia="바탕" w:hAnsi="Times New Roman" w:cs="Times New Roman"/>
          <w:kern w:val="0"/>
          <w:sz w:val="22"/>
        </w:rPr>
        <w:t xml:space="preserve">We think </w:t>
      </w:r>
      <w:r w:rsidR="002502DD">
        <w:rPr>
          <w:rFonts w:ascii="Times New Roman" w:eastAsia="바탕" w:hAnsi="Times New Roman" w:cs="Times New Roman"/>
          <w:kern w:val="0"/>
          <w:sz w:val="22"/>
        </w:rPr>
        <w:t xml:space="preserve">it is a reasonable scoping that we focus on the capacity and power evaluation in Rel-17 XR_eval SI, but we are open for further discussion on the </w:t>
      </w:r>
      <w:r>
        <w:rPr>
          <w:rFonts w:ascii="Times New Roman" w:eastAsia="바탕" w:hAnsi="Times New Roman" w:cs="Times New Roman"/>
          <w:kern w:val="0"/>
          <w:sz w:val="22"/>
        </w:rPr>
        <w:t xml:space="preserve">XR-specific coverage evaluation </w:t>
      </w:r>
      <w:r w:rsidR="002502DD">
        <w:rPr>
          <w:rFonts w:ascii="Times New Roman" w:eastAsia="바탕" w:hAnsi="Times New Roman" w:cs="Times New Roman"/>
          <w:kern w:val="0"/>
          <w:sz w:val="22"/>
        </w:rPr>
        <w:t xml:space="preserve">as </w:t>
      </w:r>
      <w:r w:rsidR="001B5FEA">
        <w:rPr>
          <w:rFonts w:ascii="Times New Roman" w:eastAsia="바탕" w:hAnsi="Times New Roman" w:cs="Times New Roman"/>
          <w:kern w:val="0"/>
          <w:sz w:val="22"/>
        </w:rPr>
        <w:t xml:space="preserve">the results may be useful </w:t>
      </w:r>
      <w:r w:rsidR="002502DD">
        <w:rPr>
          <w:rFonts w:ascii="Times New Roman" w:eastAsia="바탕" w:hAnsi="Times New Roman" w:cs="Times New Roman"/>
          <w:kern w:val="0"/>
          <w:sz w:val="22"/>
        </w:rPr>
        <w:t>if</w:t>
      </w:r>
      <w:r>
        <w:rPr>
          <w:rFonts w:ascii="Times New Roman" w:eastAsia="바탕" w:hAnsi="Times New Roman" w:cs="Times New Roman"/>
          <w:kern w:val="0"/>
          <w:sz w:val="22"/>
        </w:rPr>
        <w:t xml:space="preserve"> it is based on</w:t>
      </w:r>
      <w:r w:rsidRPr="00D23BFC">
        <w:rPr>
          <w:rFonts w:ascii="Times New Roman" w:eastAsia="바탕" w:hAnsi="Times New Roman" w:cs="Times New Roman"/>
          <w:kern w:val="0"/>
          <w:sz w:val="22"/>
        </w:rPr>
        <w:t xml:space="preserve"> the XR traffic</w:t>
      </w:r>
      <w:r w:rsidR="007C6C07">
        <w:rPr>
          <w:rFonts w:ascii="Times New Roman" w:eastAsia="바탕" w:hAnsi="Times New Roman" w:cs="Times New Roman"/>
          <w:kern w:val="0"/>
          <w:sz w:val="22"/>
        </w:rPr>
        <w:t xml:space="preserve"> models</w:t>
      </w:r>
      <w:r w:rsidRPr="00D23BFC">
        <w:rPr>
          <w:rFonts w:ascii="Times New Roman" w:eastAsia="바탕" w:hAnsi="Times New Roman" w:cs="Times New Roman"/>
          <w:kern w:val="0"/>
          <w:sz w:val="22"/>
        </w:rPr>
        <w:t xml:space="preserve"> with </w:t>
      </w:r>
      <w:r>
        <w:rPr>
          <w:rFonts w:ascii="Times New Roman" w:eastAsia="바탕" w:hAnsi="Times New Roman" w:cs="Times New Roman"/>
          <w:kern w:val="0"/>
          <w:sz w:val="22"/>
        </w:rPr>
        <w:t>the XR-specific</w:t>
      </w:r>
      <w:r w:rsidRPr="00D23BFC">
        <w:rPr>
          <w:rFonts w:ascii="Times New Roman" w:eastAsia="바탕" w:hAnsi="Times New Roman" w:cs="Times New Roman"/>
          <w:kern w:val="0"/>
          <w:sz w:val="22"/>
        </w:rPr>
        <w:t xml:space="preserve"> QoS requirement and the user experience</w:t>
      </w:r>
      <w:r>
        <w:rPr>
          <w:rFonts w:ascii="Times New Roman" w:eastAsia="바탕" w:hAnsi="Times New Roman" w:cs="Times New Roman"/>
          <w:kern w:val="0"/>
          <w:sz w:val="22"/>
        </w:rPr>
        <w:t xml:space="preserve">. </w:t>
      </w:r>
    </w:p>
    <w:p w14:paraId="6A37B46F" w14:textId="19634E40" w:rsidR="002502DD" w:rsidRDefault="002502DD" w:rsidP="002502DD">
      <w:pPr>
        <w:widowControl/>
        <w:wordWrap/>
        <w:autoSpaceDE/>
        <w:autoSpaceDN/>
        <w:spacing w:before="120" w:after="120" w:line="240" w:lineRule="auto"/>
        <w:rPr>
          <w:rFonts w:ascii="Times New Roman" w:eastAsia="Times New Roman" w:hAnsi="Times New Roman" w:cs="Times New Roman"/>
          <w:kern w:val="0"/>
          <w:sz w:val="22"/>
          <w:lang w:val="en-GB" w:eastAsia="en-US"/>
        </w:rPr>
      </w:pPr>
      <w:r>
        <w:rPr>
          <w:rFonts w:ascii="Times New Roman" w:eastAsia="바탕" w:hAnsi="Times New Roman" w:cs="Times New Roman" w:hint="eastAsia"/>
          <w:kern w:val="0"/>
          <w:sz w:val="22"/>
        </w:rPr>
        <w:t xml:space="preserve">For the </w:t>
      </w:r>
      <w:r w:rsidRPr="00F33770">
        <w:rPr>
          <w:rFonts w:ascii="Times New Roman" w:eastAsia="Times New Roman" w:hAnsi="Times New Roman" w:cs="Times New Roman"/>
          <w:kern w:val="0"/>
          <w:sz w:val="22"/>
          <w:lang w:val="en-GB" w:eastAsia="en-US"/>
        </w:rPr>
        <w:t>#UEs per cell</w:t>
      </w:r>
      <w:r>
        <w:rPr>
          <w:rFonts w:ascii="Times New Roman" w:eastAsia="Times New Roman" w:hAnsi="Times New Roman" w:cs="Times New Roman"/>
          <w:kern w:val="0"/>
          <w:sz w:val="22"/>
          <w:lang w:val="en-GB" w:eastAsia="en-US"/>
        </w:rPr>
        <w:t xml:space="preserve"> (B) for coverage evaluation, we can </w:t>
      </w:r>
      <w:r w:rsidRPr="00DB37BF">
        <w:rPr>
          <w:rFonts w:ascii="Times New Roman" w:eastAsia="Times New Roman" w:hAnsi="Times New Roman" w:cs="Times New Roman"/>
          <w:kern w:val="0"/>
          <w:sz w:val="22"/>
          <w:lang w:val="en-GB" w:eastAsia="en-US"/>
        </w:rPr>
        <w:t>consider</w:t>
      </w:r>
      <w:r>
        <w:rPr>
          <w:rFonts w:ascii="Times New Roman" w:eastAsia="Times New Roman" w:hAnsi="Times New Roman" w:cs="Times New Roman"/>
          <w:kern w:val="0"/>
          <w:sz w:val="22"/>
          <w:lang w:val="en-GB" w:eastAsia="en-US"/>
        </w:rPr>
        <w:t xml:space="preserve"> both</w:t>
      </w:r>
      <w:r w:rsidRPr="00DB37BF">
        <w:rPr>
          <w:rFonts w:ascii="Times New Roman" w:eastAsia="Times New Roman" w:hAnsi="Times New Roman" w:cs="Times New Roman"/>
          <w:kern w:val="0"/>
          <w:sz w:val="22"/>
          <w:lang w:val="en-GB" w:eastAsia="en-US"/>
        </w:rPr>
        <w:t xml:space="preserve"> B = 1 and B</w:t>
      </w:r>
      <w:r>
        <w:rPr>
          <w:rFonts w:ascii="Times New Roman" w:eastAsia="Times New Roman" w:hAnsi="Times New Roman" w:cs="Times New Roman"/>
          <w:kern w:val="0"/>
          <w:sz w:val="22"/>
          <w:lang w:val="en-GB" w:eastAsia="en-US"/>
        </w:rPr>
        <w:t xml:space="preserve"> </w:t>
      </w:r>
      <w:r w:rsidRPr="00DB37BF">
        <w:rPr>
          <w:rFonts w:ascii="Times New Roman" w:eastAsia="Times New Roman" w:hAnsi="Times New Roman" w:cs="Times New Roman"/>
          <w:kern w:val="0"/>
          <w:sz w:val="22"/>
          <w:lang w:val="en-GB" w:eastAsia="en-US"/>
        </w:rPr>
        <w:t>= capacity</w:t>
      </w:r>
      <w:r>
        <w:rPr>
          <w:rFonts w:ascii="Times New Roman" w:eastAsia="Times New Roman" w:hAnsi="Times New Roman" w:cs="Times New Roman"/>
          <w:kern w:val="0"/>
          <w:sz w:val="22"/>
          <w:lang w:val="en-GB" w:eastAsia="en-US"/>
        </w:rPr>
        <w:t xml:space="preserve"> as a starting point for further discussion in RAN1#106-e meeting. </w:t>
      </w:r>
    </w:p>
    <w:p w14:paraId="10C5A0BC" w14:textId="63CC2481" w:rsidR="007C6C07" w:rsidRDefault="002502DD" w:rsidP="002502DD">
      <w:pPr>
        <w:widowControl/>
        <w:wordWrap/>
        <w:autoSpaceDE/>
        <w:autoSpaceDN/>
        <w:spacing w:before="120" w:after="120" w:line="240" w:lineRule="auto"/>
        <w:rPr>
          <w:rFonts w:ascii="Times New Roman" w:eastAsia="바탕" w:hAnsi="Times New Roman" w:cs="Times New Roman"/>
          <w:kern w:val="0"/>
          <w:sz w:val="22"/>
        </w:rPr>
      </w:pPr>
      <w:r>
        <w:rPr>
          <w:rFonts w:ascii="Times New Roman" w:eastAsia="바탕" w:hAnsi="Times New Roman" w:cs="Times New Roman"/>
          <w:kern w:val="0"/>
          <w:sz w:val="22"/>
        </w:rPr>
        <w:lastRenderedPageBreak/>
        <w:t xml:space="preserve">The discussions in the previous meeting somehow focused on the details of evaluation methodology, but we think it would be </w:t>
      </w:r>
      <w:r w:rsidR="006E1A2A">
        <w:rPr>
          <w:rFonts w:ascii="Times New Roman" w:eastAsia="바탕" w:hAnsi="Times New Roman" w:cs="Times New Roman"/>
          <w:kern w:val="0"/>
          <w:sz w:val="22"/>
        </w:rPr>
        <w:t>beneficial</w:t>
      </w:r>
      <w:r>
        <w:rPr>
          <w:rFonts w:ascii="Times New Roman" w:eastAsia="바탕" w:hAnsi="Times New Roman" w:cs="Times New Roman"/>
          <w:kern w:val="0"/>
          <w:sz w:val="22"/>
        </w:rPr>
        <w:t xml:space="preserve"> </w:t>
      </w:r>
      <w:r w:rsidR="006E1A2A">
        <w:rPr>
          <w:rFonts w:ascii="Times New Roman" w:eastAsia="바탕" w:hAnsi="Times New Roman" w:cs="Times New Roman"/>
          <w:kern w:val="0"/>
          <w:sz w:val="22"/>
        </w:rPr>
        <w:t xml:space="preserve">if we can have some time </w:t>
      </w:r>
      <w:r>
        <w:rPr>
          <w:rFonts w:ascii="Times New Roman" w:eastAsia="바탕" w:hAnsi="Times New Roman" w:cs="Times New Roman"/>
          <w:kern w:val="0"/>
          <w:sz w:val="22"/>
        </w:rPr>
        <w:t xml:space="preserve">to draw consensus among </w:t>
      </w:r>
      <w:r w:rsidR="006E1A2A">
        <w:rPr>
          <w:rFonts w:ascii="Times New Roman" w:eastAsia="바탕" w:hAnsi="Times New Roman" w:cs="Times New Roman"/>
          <w:kern w:val="0"/>
          <w:sz w:val="22"/>
        </w:rPr>
        <w:t>companies</w:t>
      </w:r>
      <w:r>
        <w:rPr>
          <w:rFonts w:ascii="Times New Roman" w:eastAsia="바탕" w:hAnsi="Times New Roman" w:cs="Times New Roman"/>
          <w:kern w:val="0"/>
          <w:sz w:val="22"/>
        </w:rPr>
        <w:t xml:space="preserve"> on the objective of this coverage evaluation. </w:t>
      </w:r>
      <w:r w:rsidR="007C6C07">
        <w:rPr>
          <w:rFonts w:ascii="Times New Roman" w:eastAsia="바탕" w:hAnsi="Times New Roman" w:cs="Times New Roman"/>
          <w:kern w:val="0"/>
          <w:sz w:val="22"/>
        </w:rPr>
        <w:t>For instance, the importance of uplink has been emphasized in c</w:t>
      </w:r>
      <w:r w:rsidR="007C6C07" w:rsidRPr="007C6C07">
        <w:rPr>
          <w:rFonts w:ascii="Times New Roman" w:eastAsia="바탕" w:hAnsi="Times New Roman" w:cs="Times New Roman"/>
          <w:kern w:val="0"/>
          <w:sz w:val="22"/>
        </w:rPr>
        <w:t xml:space="preserve">overage </w:t>
      </w:r>
      <w:r w:rsidR="007C6C07">
        <w:rPr>
          <w:rFonts w:ascii="Times New Roman" w:eastAsia="바탕" w:hAnsi="Times New Roman" w:cs="Times New Roman"/>
          <w:kern w:val="0"/>
          <w:sz w:val="22"/>
        </w:rPr>
        <w:t>c</w:t>
      </w:r>
      <w:r w:rsidR="007C6C07" w:rsidRPr="007C6C07">
        <w:rPr>
          <w:rFonts w:ascii="Times New Roman" w:eastAsia="바탕" w:hAnsi="Times New Roman" w:cs="Times New Roman"/>
          <w:kern w:val="0"/>
          <w:sz w:val="22"/>
        </w:rPr>
        <w:t>onsiderations for XR and Cloud Gaming</w:t>
      </w:r>
      <w:r w:rsidR="007C6C07">
        <w:rPr>
          <w:rFonts w:ascii="Times New Roman" w:eastAsia="바탕" w:hAnsi="Times New Roman" w:cs="Times New Roman"/>
          <w:kern w:val="0"/>
          <w:sz w:val="22"/>
        </w:rPr>
        <w:t xml:space="preserve"> in the Justification part of the SID (relevant part copied below from the SID)</w:t>
      </w:r>
      <w:r w:rsidR="00206594">
        <w:rPr>
          <w:rFonts w:ascii="Times New Roman" w:eastAsia="바탕" w:hAnsi="Times New Roman" w:cs="Times New Roman"/>
          <w:kern w:val="0"/>
          <w:sz w:val="22"/>
        </w:rPr>
        <w:t>, but we haven’t discussed how this is going to be addressed in our evaluation and which parameters need to be collected for this</w:t>
      </w:r>
      <w:r w:rsidR="007C6C07">
        <w:rPr>
          <w:rFonts w:ascii="Times New Roman" w:eastAsia="바탕" w:hAnsi="Times New Roman" w:cs="Times New Roman"/>
          <w:kern w:val="0"/>
          <w:sz w:val="22"/>
        </w:rPr>
        <w:t>.</w:t>
      </w:r>
    </w:p>
    <w:tbl>
      <w:tblPr>
        <w:tblStyle w:val="a7"/>
        <w:tblW w:w="0" w:type="auto"/>
        <w:tblLook w:val="04A0" w:firstRow="1" w:lastRow="0" w:firstColumn="1" w:lastColumn="0" w:noHBand="0" w:noVBand="1"/>
      </w:tblPr>
      <w:tblGrid>
        <w:gridCol w:w="9628"/>
      </w:tblGrid>
      <w:tr w:rsidR="007C6C07" w14:paraId="7D9A322B" w14:textId="77777777" w:rsidTr="007C6C07">
        <w:tc>
          <w:tcPr>
            <w:tcW w:w="9628" w:type="dxa"/>
          </w:tcPr>
          <w:p w14:paraId="16FF7C01" w14:textId="77777777" w:rsidR="007C6C07" w:rsidRPr="007C6C07" w:rsidRDefault="007C6C07" w:rsidP="007C6C07">
            <w:pPr>
              <w:keepNext/>
              <w:keepLines/>
              <w:widowControl/>
              <w:wordWrap/>
              <w:overflowPunct w:val="0"/>
              <w:adjustRightInd w:val="0"/>
              <w:spacing w:before="120" w:after="180"/>
              <w:ind w:left="1134" w:hanging="1134"/>
              <w:jc w:val="left"/>
              <w:textAlignment w:val="baseline"/>
              <w:outlineLvl w:val="2"/>
              <w:rPr>
                <w:rFonts w:ascii="Arial" w:eastAsia="맑은 고딕" w:hAnsi="Arial" w:cs="Times New Roman"/>
                <w:kern w:val="0"/>
                <w:sz w:val="22"/>
                <w:szCs w:val="20"/>
                <w:lang w:val="en-GB" w:eastAsia="zh-CN"/>
              </w:rPr>
            </w:pPr>
            <w:r w:rsidRPr="007C6C07">
              <w:rPr>
                <w:rFonts w:ascii="Arial" w:eastAsia="맑은 고딕" w:hAnsi="Arial" w:cs="Times New Roman"/>
                <w:kern w:val="0"/>
                <w:sz w:val="22"/>
                <w:szCs w:val="20"/>
                <w:lang w:val="en-GB" w:eastAsia="zh-CN"/>
              </w:rPr>
              <w:t>Coverage Considerations for XR and Cloud Gaming</w:t>
            </w:r>
          </w:p>
          <w:p w14:paraId="6244DEB8" w14:textId="77777777" w:rsidR="007C6C07" w:rsidRPr="00C41A7F" w:rsidRDefault="007C6C07" w:rsidP="007C6C07">
            <w:pPr>
              <w:widowControl/>
              <w:wordWrap/>
              <w:overflowPunct w:val="0"/>
              <w:adjustRightInd w:val="0"/>
              <w:spacing w:before="100" w:beforeAutospacing="1" w:after="100" w:afterAutospacing="1"/>
              <w:textAlignment w:val="baseline"/>
              <w:rPr>
                <w:rFonts w:ascii="Times New Roman" w:eastAsia="맑은 고딕" w:hAnsi="Times New Roman" w:cs="Times New Roman"/>
                <w:bCs/>
                <w:kern w:val="0"/>
                <w:sz w:val="22"/>
                <w:lang w:val="en-GB" w:eastAsia="zh-CN"/>
              </w:rPr>
            </w:pPr>
            <w:r w:rsidRPr="00C41A7F">
              <w:rPr>
                <w:rFonts w:ascii="Times New Roman" w:eastAsia="맑은 고딕" w:hAnsi="Times New Roman" w:cs="Times New Roman"/>
                <w:bCs/>
                <w:kern w:val="0"/>
                <w:sz w:val="22"/>
                <w:lang w:val="en-GB" w:eastAsia="zh-CN"/>
              </w:rPr>
              <w:t>Some XR and Cloud Gaming applications can require high-throughput and low-latency on the uplink. The performance of 5G on the uplink at the cell edge can be much different compared to performance at the cell-centre. The power limitations on the XR device can make this issue even more acute.</w:t>
            </w:r>
          </w:p>
          <w:p w14:paraId="3BF69114" w14:textId="77777777" w:rsidR="007C6C07" w:rsidRDefault="007C6C07" w:rsidP="00C41A7F">
            <w:pPr>
              <w:widowControl/>
              <w:wordWrap/>
              <w:overflowPunct w:val="0"/>
              <w:adjustRightInd w:val="0"/>
              <w:spacing w:before="100" w:beforeAutospacing="1"/>
              <w:textAlignment w:val="baseline"/>
              <w:rPr>
                <w:rFonts w:ascii="Times New Roman" w:eastAsia="맑은 고딕" w:hAnsi="Times New Roman" w:cs="Times New Roman"/>
                <w:kern w:val="0"/>
                <w:sz w:val="22"/>
                <w:lang w:val="en-GB" w:eastAsia="en-GB"/>
              </w:rPr>
            </w:pPr>
            <w:r w:rsidRPr="00C41A7F">
              <w:rPr>
                <w:rFonts w:ascii="Times New Roman" w:eastAsia="맑은 고딕" w:hAnsi="Times New Roman" w:cs="Times New Roman"/>
                <w:bCs/>
                <w:kern w:val="0"/>
                <w:sz w:val="22"/>
                <w:lang w:val="en-GB" w:eastAsia="zh-CN"/>
              </w:rPr>
              <w:t xml:space="preserve">As such, </w:t>
            </w:r>
            <w:r w:rsidRPr="00C41A7F">
              <w:rPr>
                <w:rFonts w:ascii="Times New Roman" w:eastAsia="맑은 고딕" w:hAnsi="Times New Roman" w:cs="Times New Roman"/>
                <w:kern w:val="0"/>
                <w:sz w:val="22"/>
                <w:lang w:val="en-GB" w:eastAsia="zh-CN"/>
              </w:rPr>
              <w:t>coverage, particularly that of uplink, is an important factor for XR and Cloud Gaming</w:t>
            </w:r>
            <w:r w:rsidRPr="00C41A7F">
              <w:rPr>
                <w:rFonts w:ascii="Times New Roman" w:eastAsia="맑은 고딕" w:hAnsi="Times New Roman" w:cs="Times New Roman"/>
                <w:kern w:val="0"/>
                <w:sz w:val="22"/>
                <w:lang w:val="en-GB" w:eastAsia="en-GB"/>
              </w:rPr>
              <w:t>.</w:t>
            </w:r>
          </w:p>
          <w:p w14:paraId="325B8F6E" w14:textId="320930BB" w:rsidR="00206594" w:rsidRPr="00C41A7F" w:rsidRDefault="00206594" w:rsidP="00C41A7F">
            <w:pPr>
              <w:widowControl/>
              <w:wordWrap/>
              <w:overflowPunct w:val="0"/>
              <w:adjustRightInd w:val="0"/>
              <w:textAlignment w:val="baseline"/>
              <w:rPr>
                <w:rFonts w:ascii="Times New Roman" w:eastAsia="맑은 고딕" w:hAnsi="Times New Roman" w:cs="Times New Roman"/>
                <w:kern w:val="0"/>
                <w:sz w:val="22"/>
                <w:lang w:val="en-GB" w:eastAsia="en-GB"/>
              </w:rPr>
            </w:pPr>
          </w:p>
        </w:tc>
      </w:tr>
    </w:tbl>
    <w:p w14:paraId="187FF506" w14:textId="48CA04AC" w:rsidR="002502DD" w:rsidRDefault="002502DD" w:rsidP="002502DD">
      <w:pPr>
        <w:widowControl/>
        <w:wordWrap/>
        <w:autoSpaceDE/>
        <w:autoSpaceDN/>
        <w:spacing w:before="120" w:after="120" w:line="240" w:lineRule="auto"/>
        <w:rPr>
          <w:rFonts w:ascii="Times New Roman" w:eastAsia="바탕" w:hAnsi="Times New Roman" w:cs="Times New Roman"/>
          <w:kern w:val="0"/>
          <w:sz w:val="22"/>
        </w:rPr>
      </w:pPr>
      <w:r>
        <w:rPr>
          <w:rFonts w:ascii="Times New Roman" w:eastAsia="바탕" w:hAnsi="Times New Roman" w:cs="Times New Roman" w:hint="eastAsia"/>
          <w:kern w:val="0"/>
          <w:sz w:val="22"/>
        </w:rPr>
        <w:t>Perhaps, we can discuss this in parallel with the discussion on the evaluation metric.</w:t>
      </w:r>
    </w:p>
    <w:p w14:paraId="75FF92C2" w14:textId="77777777" w:rsidR="002502DD" w:rsidRDefault="002502DD" w:rsidP="002502DD">
      <w:pPr>
        <w:widowControl/>
        <w:wordWrap/>
        <w:autoSpaceDE/>
        <w:autoSpaceDN/>
        <w:spacing w:before="120" w:after="120" w:line="240" w:lineRule="auto"/>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r>
        <w:rPr>
          <w:rFonts w:ascii="Times New Roman" w:eastAsia="바탕" w:hAnsi="Times New Roman" w:cs="Times New Roman"/>
          <w:b/>
          <w:i/>
          <w:kern w:val="0"/>
          <w:sz w:val="22"/>
          <w:lang w:val="en-GB"/>
        </w:rPr>
        <w:t>Further discuss the objective of coverage evaluation for XR and the coverage evaluation methodology with the following note from the Chairman’s Notes in RAN1#105-e as a starting point:</w:t>
      </w:r>
    </w:p>
    <w:p w14:paraId="68AE1CAD" w14:textId="77777777" w:rsidR="002502DD" w:rsidRPr="00F33770" w:rsidRDefault="002502DD" w:rsidP="002502DD">
      <w:pPr>
        <w:widowControl/>
        <w:wordWrap/>
        <w:autoSpaceDE/>
        <w:autoSpaceDN/>
        <w:spacing w:after="0" w:line="240" w:lineRule="auto"/>
        <w:ind w:leftChars="213" w:left="427" w:hanging="1"/>
        <w:rPr>
          <w:rFonts w:ascii="Times New Roman" w:eastAsia="Times New Roman" w:hAnsi="Times New Roman" w:cs="Times New Roman"/>
          <w:b/>
          <w:bCs/>
          <w:kern w:val="0"/>
          <w:sz w:val="22"/>
          <w:lang w:val="en-GB" w:eastAsia="en-US"/>
        </w:rPr>
      </w:pPr>
      <w:r w:rsidRPr="00F33770">
        <w:rPr>
          <w:rFonts w:ascii="Times New Roman" w:eastAsia="Times New Roman" w:hAnsi="Times New Roman" w:cs="Times New Roman"/>
          <w:b/>
          <w:bCs/>
          <w:kern w:val="0"/>
          <w:sz w:val="22"/>
          <w:lang w:val="en-GB" w:eastAsia="en-US"/>
        </w:rPr>
        <w:t>For companies to further study and if necessary, discuss in RAN1#106-e</w:t>
      </w:r>
    </w:p>
    <w:p w14:paraId="7A8F10F4" w14:textId="77777777" w:rsidR="002502DD" w:rsidRPr="00F33770" w:rsidRDefault="002502DD" w:rsidP="002502DD">
      <w:pPr>
        <w:widowControl/>
        <w:wordWrap/>
        <w:autoSpaceDE/>
        <w:autoSpaceDN/>
        <w:spacing w:after="0" w:line="240" w:lineRule="auto"/>
        <w:ind w:leftChars="213" w:left="427" w:hanging="1"/>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b/>
          <w:bCs/>
          <w:kern w:val="0"/>
          <w:sz w:val="22"/>
          <w:lang w:val="en-GB" w:eastAsia="en-US"/>
        </w:rPr>
        <w:t xml:space="preserve">(Coverage evaluation methodology) </w:t>
      </w:r>
      <w:r w:rsidRPr="00F33770">
        <w:rPr>
          <w:rFonts w:ascii="Times New Roman" w:eastAsia="Times New Roman" w:hAnsi="Times New Roman" w:cs="Times New Roman"/>
          <w:kern w:val="0"/>
          <w:sz w:val="22"/>
          <w:lang w:val="en-GB" w:eastAsia="en-US"/>
        </w:rPr>
        <w:t>For XR/CG in DL or UL, coverage is defined to be the A-percentile point in CDF of Coupling gain for the “satisfied” UEs, with #UEs per cell = B, for a given XR application (AR/VR/CG) in a given deployment scenario (DU/InH/UMa)</w:t>
      </w:r>
    </w:p>
    <w:p w14:paraId="5D8A675C" w14:textId="77777777" w:rsidR="002502DD" w:rsidRPr="00F33770" w:rsidRDefault="002502DD" w:rsidP="002502DD">
      <w:pPr>
        <w:widowControl/>
        <w:numPr>
          <w:ilvl w:val="1"/>
          <w:numId w:val="53"/>
        </w:numPr>
        <w:wordWrap/>
        <w:autoSpaceDE/>
        <w:autoSpaceDN/>
        <w:spacing w:after="0" w:line="240" w:lineRule="auto"/>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kern w:val="0"/>
          <w:sz w:val="22"/>
          <w:lang w:val="en-GB" w:eastAsia="en-US"/>
        </w:rPr>
        <w:t>A = [5], other value can also be reported</w:t>
      </w:r>
    </w:p>
    <w:p w14:paraId="21AC250B" w14:textId="77777777" w:rsidR="002502DD" w:rsidRPr="00F33770" w:rsidRDefault="002502DD" w:rsidP="002502DD">
      <w:pPr>
        <w:widowControl/>
        <w:numPr>
          <w:ilvl w:val="1"/>
          <w:numId w:val="53"/>
        </w:numPr>
        <w:wordWrap/>
        <w:autoSpaceDE/>
        <w:autoSpaceDN/>
        <w:spacing w:after="0" w:line="240" w:lineRule="auto"/>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kern w:val="0"/>
          <w:sz w:val="22"/>
          <w:lang w:val="en-GB" w:eastAsia="en-US"/>
        </w:rPr>
        <w:t xml:space="preserve">FFS: Value of B, </w:t>
      </w:r>
      <w:r w:rsidRPr="00F33770">
        <w:rPr>
          <w:rFonts w:ascii="Times New Roman" w:eastAsia="Times New Roman" w:hAnsi="Times New Roman" w:cs="Times New Roman"/>
          <w:color w:val="FF0000"/>
          <w:kern w:val="0"/>
          <w:sz w:val="22"/>
          <w:lang w:val="en-GB" w:eastAsia="en-US"/>
        </w:rPr>
        <w:t>e.g. B = 1, capacity, etc.</w:t>
      </w:r>
    </w:p>
    <w:p w14:paraId="6415CAB2" w14:textId="77777777" w:rsidR="002502DD" w:rsidRPr="00F33770" w:rsidRDefault="002502DD" w:rsidP="002502DD">
      <w:pPr>
        <w:widowControl/>
        <w:numPr>
          <w:ilvl w:val="1"/>
          <w:numId w:val="53"/>
        </w:numPr>
        <w:wordWrap/>
        <w:autoSpaceDE/>
        <w:autoSpaceDN/>
        <w:spacing w:after="0" w:line="240" w:lineRule="auto"/>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kern w:val="0"/>
          <w:sz w:val="22"/>
          <w:lang w:val="en-GB" w:eastAsia="en-US"/>
        </w:rPr>
        <w:t>Note: Coupling gain for coverage evaluation is defined as the ratio of received and transmitted power measured in dB, and includes antenna gains, path loss, shadowing, indoor- or body loss, etc. Example of coupling gain can refer to TR 37.910.</w:t>
      </w:r>
    </w:p>
    <w:p w14:paraId="330DF53E" w14:textId="77777777" w:rsidR="002502DD" w:rsidRPr="005F30E0" w:rsidRDefault="002502DD" w:rsidP="002502DD">
      <w:pPr>
        <w:widowControl/>
        <w:wordWrap/>
        <w:autoSpaceDE/>
        <w:autoSpaceDN/>
        <w:spacing w:before="120" w:after="120" w:line="240" w:lineRule="auto"/>
        <w:ind w:leftChars="213" w:left="427" w:hanging="1"/>
        <w:rPr>
          <w:rFonts w:ascii="Times New Roman" w:eastAsia="바탕" w:hAnsi="Times New Roman" w:cs="Times New Roman"/>
          <w:b/>
          <w:i/>
          <w:kern w:val="0"/>
          <w:sz w:val="22"/>
          <w:lang w:val="en-GB"/>
        </w:rPr>
      </w:pPr>
      <w:r w:rsidRPr="00F33770">
        <w:rPr>
          <w:rFonts w:ascii="Times New Roman" w:eastAsia="Times New Roman" w:hAnsi="Times New Roman" w:cs="Times New Roman"/>
          <w:kern w:val="0"/>
          <w:sz w:val="22"/>
          <w:lang w:val="en-GB" w:eastAsia="en-US"/>
        </w:rPr>
        <w:t>An alternate method could be to use the “traditional” method such as what is used in the CE study/work item.</w:t>
      </w:r>
    </w:p>
    <w:p w14:paraId="105C22C4" w14:textId="77777777" w:rsidR="001B5FEA" w:rsidRDefault="001B5FEA" w:rsidP="006E1A2A">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bookmarkStart w:id="3" w:name="_GoBack"/>
      <w:bookmarkEnd w:id="3"/>
    </w:p>
    <w:p w14:paraId="6A371793" w14:textId="77777777" w:rsidR="006E1A2A" w:rsidRPr="008F6557" w:rsidRDefault="006E1A2A" w:rsidP="006E1A2A">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Pr>
          <w:rFonts w:ascii="Times New Roman" w:eastAsia="바탕" w:hAnsi="Times New Roman" w:cs="Times New Roman"/>
          <w:kern w:val="0"/>
          <w:sz w:val="22"/>
          <w:lang w:val="en-GB"/>
        </w:rPr>
        <w:t xml:space="preserve">agreement </w:t>
      </w:r>
      <w:r w:rsidRPr="008F6557">
        <w:rPr>
          <w:rFonts w:ascii="Times New Roman" w:eastAsia="바탕" w:hAnsi="Times New Roman" w:cs="Times New Roman"/>
          <w:kern w:val="0"/>
          <w:sz w:val="22"/>
          <w:lang w:val="en-GB"/>
        </w:rPr>
        <w:t xml:space="preserve">was </w:t>
      </w:r>
      <w:r>
        <w:rPr>
          <w:rFonts w:ascii="Times New Roman" w:eastAsia="바탕" w:hAnsi="Times New Roman" w:cs="Times New Roman"/>
          <w:kern w:val="0"/>
          <w:sz w:val="22"/>
          <w:lang w:val="en-GB"/>
        </w:rPr>
        <w:t>made in RAN1#103-e meeting</w:t>
      </w:r>
      <w:r w:rsidRPr="008F6557">
        <w:rPr>
          <w:rFonts w:ascii="Times New Roman" w:eastAsia="바탕" w:hAnsi="Times New Roman" w:cs="Times New Roman"/>
          <w:kern w:val="0"/>
          <w:sz w:val="22"/>
          <w:lang w:val="en-GB"/>
        </w:rPr>
        <w:t xml:space="preserve"> regarding </w:t>
      </w:r>
      <w:r>
        <w:rPr>
          <w:rFonts w:ascii="Times New Roman" w:eastAsia="바탕" w:hAnsi="Times New Roman" w:cs="Times New Roman"/>
          <w:kern w:val="0"/>
          <w:sz w:val="22"/>
          <w:lang w:val="en-GB"/>
        </w:rPr>
        <w:t xml:space="preserve">prioritization of the combinations </w:t>
      </w:r>
      <w:r w:rsidRPr="005F30E0">
        <w:rPr>
          <w:rFonts w:ascii="Times New Roman" w:eastAsia="바탕" w:hAnsi="Times New Roman" w:cs="Times New Roman"/>
          <w:kern w:val="0"/>
          <w:sz w:val="22"/>
          <w:lang w:val="en-GB"/>
        </w:rPr>
        <w:t>of deployment scenarios and applications</w:t>
      </w:r>
      <w:r>
        <w:rPr>
          <w:rFonts w:ascii="Times New Roman" w:eastAsia="바탕" w:hAnsi="Times New Roman" w:cs="Times New Roman"/>
          <w:kern w:val="0"/>
          <w:sz w:val="22"/>
          <w:lang w:val="en-GB"/>
        </w:rPr>
        <w:t>.</w:t>
      </w:r>
    </w:p>
    <w:tbl>
      <w:tblPr>
        <w:tblStyle w:val="a7"/>
        <w:tblW w:w="0" w:type="auto"/>
        <w:tblLook w:val="04A0" w:firstRow="1" w:lastRow="0" w:firstColumn="1" w:lastColumn="0" w:noHBand="0" w:noVBand="1"/>
      </w:tblPr>
      <w:tblGrid>
        <w:gridCol w:w="9628"/>
      </w:tblGrid>
      <w:tr w:rsidR="006E1A2A" w:rsidRPr="006B2578" w14:paraId="0BC1A921" w14:textId="77777777" w:rsidTr="00F33770">
        <w:tc>
          <w:tcPr>
            <w:tcW w:w="9628" w:type="dxa"/>
          </w:tcPr>
          <w:p w14:paraId="5E905FD5" w14:textId="77777777" w:rsidR="006E1A2A" w:rsidRPr="006B2578" w:rsidRDefault="006E1A2A" w:rsidP="00F33770">
            <w:pPr>
              <w:widowControl/>
              <w:wordWrap/>
              <w:autoSpaceDE/>
              <w:autoSpaceDN/>
              <w:rPr>
                <w:rFonts w:ascii="Times New Roman" w:eastAsia="Times New Roman" w:hAnsi="Times New Roman" w:cs="Times New Roman"/>
                <w:kern w:val="0"/>
                <w:sz w:val="22"/>
                <w:highlight w:val="green"/>
                <w:lang w:eastAsia="en-US"/>
              </w:rPr>
            </w:pPr>
            <w:r w:rsidRPr="006B2578">
              <w:rPr>
                <w:rFonts w:ascii="Times New Roman" w:eastAsia="Times New Roman" w:hAnsi="Times New Roman" w:cs="Times New Roman"/>
                <w:kern w:val="0"/>
                <w:sz w:val="22"/>
                <w:highlight w:val="green"/>
                <w:lang w:eastAsia="en-US"/>
              </w:rPr>
              <w:t>Agreement:</w:t>
            </w:r>
          </w:p>
          <w:p w14:paraId="63B94AC3" w14:textId="77777777" w:rsidR="006E1A2A" w:rsidRPr="006B2578" w:rsidRDefault="006E1A2A" w:rsidP="00F33770">
            <w:pPr>
              <w:widowControl/>
              <w:wordWrap/>
              <w:autoSpaceDE/>
              <w:autoSpaceDN/>
              <w:jc w:val="left"/>
              <w:rPr>
                <w:rFonts w:ascii="Times New Roman" w:eastAsia="Calibri" w:hAnsi="Times New Roman" w:cs="Times New Roman"/>
                <w:kern w:val="0"/>
                <w:sz w:val="22"/>
                <w:lang w:val="en-GB" w:eastAsia="zh-CN"/>
              </w:rPr>
            </w:pPr>
            <w:r w:rsidRPr="006B2578">
              <w:rPr>
                <w:rFonts w:ascii="Times New Roman" w:eastAsia="Calibri" w:hAnsi="Times New Roman" w:cs="Times New Roman"/>
                <w:kern w:val="0"/>
                <w:sz w:val="22"/>
                <w:lang w:val="en-GB" w:eastAsia="zh-CN"/>
              </w:rPr>
              <w:t>It is to be further discussed how to prioritize the combinations of deployment scenarios and applications after traffic models for each application are stable.</w:t>
            </w:r>
          </w:p>
          <w:p w14:paraId="5676199E" w14:textId="77777777" w:rsidR="006E1A2A" w:rsidRPr="006B2578" w:rsidRDefault="006E1A2A" w:rsidP="00F33770">
            <w:pPr>
              <w:widowControl/>
              <w:wordWrap/>
              <w:autoSpaceDE/>
              <w:autoSpaceDN/>
              <w:jc w:val="left"/>
              <w:rPr>
                <w:rFonts w:ascii="Times New Roman" w:eastAsia="PMingLiU" w:hAnsi="Times New Roman" w:cs="Times New Roman"/>
                <w:kern w:val="0"/>
                <w:sz w:val="22"/>
                <w:lang w:eastAsia="zh-TW"/>
              </w:rPr>
            </w:pPr>
          </w:p>
        </w:tc>
      </w:tr>
    </w:tbl>
    <w:p w14:paraId="1F820B97" w14:textId="77777777" w:rsidR="006E1A2A" w:rsidRDefault="006E1A2A" w:rsidP="006E1A2A">
      <w:pPr>
        <w:widowControl/>
        <w:wordWrap/>
        <w:autoSpaceDE/>
        <w:autoSpaceDN/>
        <w:spacing w:before="120" w:after="120" w:line="240" w:lineRule="auto"/>
        <w:rPr>
          <w:rFonts w:ascii="Times New Roman" w:eastAsia="바탕" w:hAnsi="Times New Roman" w:cs="Times New Roman"/>
          <w:kern w:val="0"/>
          <w:sz w:val="22"/>
          <w:lang w:val="en-GB"/>
        </w:rPr>
      </w:pPr>
      <w:r w:rsidRPr="005F30E0">
        <w:rPr>
          <w:rFonts w:ascii="Times New Roman" w:eastAsia="바탕" w:hAnsi="Times New Roman" w:cs="Times New Roman"/>
          <w:kern w:val="0"/>
          <w:sz w:val="22"/>
          <w:lang w:val="en-GB"/>
        </w:rPr>
        <w:lastRenderedPageBreak/>
        <w:t xml:space="preserve">Even if </w:t>
      </w:r>
      <w:r>
        <w:rPr>
          <w:rFonts w:ascii="Times New Roman" w:eastAsia="바탕" w:hAnsi="Times New Roman" w:cs="Times New Roman"/>
          <w:kern w:val="0"/>
          <w:sz w:val="22"/>
          <w:lang w:val="en-GB"/>
        </w:rPr>
        <w:t xml:space="preserve">the </w:t>
      </w:r>
      <w:r>
        <w:rPr>
          <w:rFonts w:ascii="Times New Roman" w:eastAsia="바탕" w:hAnsi="Times New Roman" w:cs="Times New Roman" w:hint="eastAsia"/>
          <w:kern w:val="0"/>
          <w:sz w:val="22"/>
          <w:lang w:val="en-GB"/>
        </w:rPr>
        <w:t xml:space="preserve">draft XR evaluation result template is flexible enough to </w:t>
      </w:r>
      <w:r>
        <w:rPr>
          <w:rFonts w:ascii="Times New Roman" w:eastAsia="바탕" w:hAnsi="Times New Roman" w:cs="Times New Roman"/>
          <w:kern w:val="0"/>
          <w:sz w:val="22"/>
          <w:lang w:val="en-GB"/>
        </w:rPr>
        <w:t xml:space="preserve">capture almost all the combinations of deployment scenarios and applications, we still think </w:t>
      </w:r>
      <w:r w:rsidRPr="005F30E0">
        <w:rPr>
          <w:rFonts w:ascii="Times New Roman" w:eastAsia="바탕" w:hAnsi="Times New Roman" w:cs="Times New Roman"/>
          <w:kern w:val="0"/>
          <w:sz w:val="22"/>
          <w:lang w:val="en-GB"/>
        </w:rPr>
        <w:t xml:space="preserve">prioritization among </w:t>
      </w:r>
      <w:r>
        <w:rPr>
          <w:rFonts w:ascii="Times New Roman" w:eastAsia="바탕" w:hAnsi="Times New Roman" w:cs="Times New Roman"/>
          <w:kern w:val="0"/>
          <w:sz w:val="22"/>
          <w:lang w:val="en-GB"/>
        </w:rPr>
        <w:t>c</w:t>
      </w:r>
      <w:r w:rsidRPr="005F30E0">
        <w:rPr>
          <w:rFonts w:ascii="Times New Roman" w:eastAsia="바탕" w:hAnsi="Times New Roman" w:cs="Times New Roman"/>
          <w:kern w:val="0"/>
          <w:sz w:val="22"/>
          <w:lang w:val="en-GB"/>
        </w:rPr>
        <w:t>ombinations of deployment scenarios and applications is needed to reduce the RAN1 workload</w:t>
      </w:r>
      <w:r>
        <w:rPr>
          <w:rFonts w:ascii="Times New Roman" w:eastAsia="바탕" w:hAnsi="Times New Roman" w:cs="Times New Roman"/>
          <w:kern w:val="0"/>
          <w:sz w:val="22"/>
          <w:lang w:val="en-GB"/>
        </w:rPr>
        <w:t xml:space="preserve"> and to draw conclusions based on the importance or relevance of the applications and the deployment scenarios of those applications in the TR</w:t>
      </w:r>
      <w:r>
        <w:rPr>
          <w:rFonts w:ascii="Times New Roman" w:eastAsia="바탕" w:hAnsi="Times New Roman" w:cs="Times New Roman" w:hint="eastAsia"/>
          <w:kern w:val="0"/>
          <w:sz w:val="22"/>
          <w:lang w:val="en-GB"/>
        </w:rPr>
        <w:t>.</w:t>
      </w:r>
      <w:r>
        <w:rPr>
          <w:rFonts w:ascii="Times New Roman" w:eastAsia="바탕" w:hAnsi="Times New Roman" w:cs="Times New Roman"/>
          <w:kern w:val="0"/>
          <w:sz w:val="22"/>
          <w:lang w:val="en-GB"/>
        </w:rPr>
        <w:t xml:space="preserve"> We suggest the following prioritizations.</w:t>
      </w:r>
    </w:p>
    <w:p w14:paraId="2C91D3AB" w14:textId="29134D1C" w:rsidR="006E1A2A" w:rsidRPr="005F30E0" w:rsidRDefault="006E1A2A" w:rsidP="00C41A7F">
      <w:pPr>
        <w:widowControl/>
        <w:wordWrap/>
        <w:autoSpaceDE/>
        <w:autoSpaceDN/>
        <w:spacing w:before="120" w:after="120" w:line="240" w:lineRule="auto"/>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w:t>
      </w:r>
      <w:r w:rsidR="001B5FEA">
        <w:rPr>
          <w:rFonts w:ascii="Times New Roman" w:eastAsia="바탕" w:hAnsi="Times New Roman" w:cs="Times New Roman"/>
          <w:b/>
          <w:i/>
          <w:kern w:val="0"/>
          <w:sz w:val="22"/>
          <w:lang w:val="en-GB"/>
        </w:rPr>
        <w:t>2</w:t>
      </w:r>
      <w:r w:rsidRPr="008F6557">
        <w:rPr>
          <w:rFonts w:ascii="Times New Roman" w:eastAsia="바탕" w:hAnsi="Times New Roman" w:cs="Times New Roman"/>
          <w:b/>
          <w:i/>
          <w:kern w:val="0"/>
          <w:sz w:val="22"/>
          <w:lang w:val="en-GB"/>
        </w:rPr>
        <w:t xml:space="preserve">: </w:t>
      </w:r>
    </w:p>
    <w:p w14:paraId="71721AF7" w14:textId="77777777" w:rsidR="006E1A2A" w:rsidRPr="00194374" w:rsidRDefault="006E1A2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VR1 and VR2 applications, Indoor hotspot is prioritized</w:t>
      </w:r>
    </w:p>
    <w:p w14:paraId="41815963" w14:textId="77777777" w:rsidR="006E1A2A" w:rsidRPr="00194374" w:rsidRDefault="006E1A2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AR1 and AR2, Dense urban and Urban macro are prioritized</w:t>
      </w:r>
    </w:p>
    <w:p w14:paraId="1A4EF4EC" w14:textId="77777777" w:rsidR="006E1A2A" w:rsidRPr="00194374" w:rsidRDefault="006E1A2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CG, Dense urban [and Indoor hotspot] is[/are] prioritized</w:t>
      </w:r>
    </w:p>
    <w:p w14:paraId="6216BFEC" w14:textId="77777777" w:rsidR="006E1A2A" w:rsidRPr="00194374" w:rsidRDefault="006E1A2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 xml:space="preserve">FR1 </w:t>
      </w:r>
      <w:r>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for some of combinations of deployment scenarios and applications, e.g., AR1 and AR2</w:t>
      </w:r>
    </w:p>
    <w:p w14:paraId="3E8BB2EE" w14:textId="77777777" w:rsidR="001B5FEA" w:rsidRDefault="001B5FEA" w:rsidP="001B5FEA">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B074512" w14:textId="77777777" w:rsidR="001B5FEA" w:rsidRDefault="001B5FEA" w:rsidP="001B5FEA">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9D482B">
        <w:rPr>
          <w:rFonts w:ascii="Times New Roman" w:eastAsia="바탕" w:hAnsi="Times New Roman" w:cs="Times New Roman"/>
          <w:kern w:val="0"/>
          <w:sz w:val="22"/>
          <w:lang w:val="en-GB"/>
        </w:rPr>
        <w:t xml:space="preserve">AR requires and benefits most from the power saving techniques among XR applications due to its compact form factor. </w:t>
      </w:r>
      <w:r>
        <w:rPr>
          <w:rFonts w:ascii="Times New Roman" w:eastAsia="바탕" w:hAnsi="Times New Roman" w:cs="Times New Roman"/>
          <w:kern w:val="0"/>
          <w:sz w:val="22"/>
          <w:lang w:val="en-GB"/>
        </w:rPr>
        <w:t xml:space="preserve">As shown in the Table below copied from </w:t>
      </w:r>
      <w:r>
        <w:rPr>
          <w:rFonts w:ascii="Times New Roman" w:eastAsia="바탕" w:hAnsi="Times New Roman" w:cs="Times New Roman"/>
          <w:kern w:val="0"/>
          <w:sz w:val="22"/>
          <w:lang w:val="en-GB"/>
        </w:rPr>
        <w:fldChar w:fldCharType="begin"/>
      </w:r>
      <w:r>
        <w:rPr>
          <w:rFonts w:ascii="Times New Roman" w:eastAsia="바탕" w:hAnsi="Times New Roman" w:cs="Times New Roman"/>
          <w:kern w:val="0"/>
          <w:sz w:val="22"/>
          <w:lang w:val="en-GB"/>
        </w:rPr>
        <w:instrText xml:space="preserve"> REF _Ref68664075 \n \h </w:instrText>
      </w:r>
      <w:r>
        <w:rPr>
          <w:rFonts w:ascii="Times New Roman" w:eastAsia="바탕" w:hAnsi="Times New Roman" w:cs="Times New Roman"/>
          <w:kern w:val="0"/>
          <w:sz w:val="22"/>
          <w:lang w:val="en-GB"/>
        </w:rPr>
      </w:r>
      <w:r>
        <w:rPr>
          <w:rFonts w:ascii="Times New Roman" w:eastAsia="바탕" w:hAnsi="Times New Roman" w:cs="Times New Roman"/>
          <w:kern w:val="0"/>
          <w:sz w:val="22"/>
          <w:lang w:val="en-GB"/>
        </w:rPr>
        <w:fldChar w:fldCharType="separate"/>
      </w:r>
      <w:r w:rsidR="00AF387F">
        <w:rPr>
          <w:rFonts w:ascii="Times New Roman" w:eastAsia="바탕" w:hAnsi="Times New Roman" w:cs="Times New Roman"/>
          <w:kern w:val="0"/>
          <w:sz w:val="22"/>
          <w:lang w:val="en-GB"/>
        </w:rPr>
        <w:t>[4]</w:t>
      </w:r>
      <w:r>
        <w:rPr>
          <w:rFonts w:ascii="Times New Roman" w:eastAsia="바탕" w:hAnsi="Times New Roman" w:cs="Times New Roman"/>
          <w:kern w:val="0"/>
          <w:sz w:val="22"/>
          <w:lang w:val="en-GB"/>
        </w:rPr>
        <w:fldChar w:fldCharType="end"/>
      </w:r>
      <w:r w:rsidRPr="009D482B">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a</w:t>
      </w:r>
      <w:r w:rsidRPr="009D482B">
        <w:rPr>
          <w:rFonts w:ascii="Times New Roman" w:eastAsia="바탕" w:hAnsi="Times New Roman" w:cs="Times New Roman"/>
          <w:kern w:val="0"/>
          <w:sz w:val="22"/>
          <w:lang w:val="en-GB"/>
        </w:rPr>
        <w:t>ccording to the study in SA4</w:t>
      </w:r>
      <w:r>
        <w:rPr>
          <w:rFonts w:ascii="Times New Roman" w:eastAsia="바탕" w:hAnsi="Times New Roman" w:cs="Times New Roman"/>
          <w:kern w:val="0"/>
          <w:sz w:val="22"/>
          <w:lang w:val="en-GB"/>
        </w:rPr>
        <w:t xml:space="preserve">, </w:t>
      </w:r>
      <w:r w:rsidRPr="009D482B">
        <w:rPr>
          <w:rFonts w:ascii="Times New Roman" w:eastAsia="바탕" w:hAnsi="Times New Roman" w:cs="Times New Roman"/>
          <w:kern w:val="0"/>
          <w:sz w:val="22"/>
          <w:lang w:val="en-GB"/>
        </w:rPr>
        <w:t>XR device types XR5G-A1, XR5G-A2, and XR5G-A5 have smaller maximum available powers compared to phone type devices</w:t>
      </w:r>
      <w:r>
        <w:rPr>
          <w:rFonts w:ascii="Times New Roman" w:eastAsia="바탕" w:hAnsi="Times New Roman" w:cs="Times New Roman"/>
          <w:kern w:val="0"/>
          <w:sz w:val="22"/>
          <w:lang w:val="en-GB"/>
        </w:rPr>
        <w:t>.</w:t>
      </w:r>
      <w:r w:rsidRPr="009D482B">
        <w:rPr>
          <w:rFonts w:ascii="Times New Roman" w:eastAsia="바탕" w:hAnsi="Times New Roman" w:cs="Times New Roman"/>
          <w:kern w:val="0"/>
          <w:sz w:val="22"/>
          <w:lang w:val="en-GB"/>
        </w:rPr>
        <w:t xml:space="preserve"> All of these are AR glasses that have some issues in thermal dissipation due to its device geometry. As the AR is the application in which the power consumption is the most critical and the usage scenario</w:t>
      </w:r>
      <w:r>
        <w:rPr>
          <w:rFonts w:ascii="Times New Roman" w:eastAsia="바탕" w:hAnsi="Times New Roman" w:cs="Times New Roman"/>
          <w:kern w:val="0"/>
          <w:sz w:val="22"/>
          <w:lang w:val="en-GB"/>
        </w:rPr>
        <w:t>s</w:t>
      </w:r>
      <w:r w:rsidRPr="009D482B">
        <w:rPr>
          <w:rFonts w:ascii="Times New Roman" w:eastAsia="바탕" w:hAnsi="Times New Roman" w:cs="Times New Roman"/>
          <w:kern w:val="0"/>
          <w:sz w:val="22"/>
          <w:lang w:val="en-GB"/>
        </w:rPr>
        <w:t xml:space="preserve"> of these AR glasses are not limited to the indoors, we suggest to prioritize AR in Dense urban and Urban macro deployment scenarios. If further reduction in simulation runs is desired, prioritizing FR1 over FR2 can also be considered.</w:t>
      </w:r>
    </w:p>
    <w:tbl>
      <w:tblPr>
        <w:tblW w:w="5000" w:type="pct"/>
        <w:jc w:val="righ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260"/>
        <w:gridCol w:w="2267"/>
        <w:gridCol w:w="1703"/>
        <w:gridCol w:w="1134"/>
        <w:gridCol w:w="1276"/>
        <w:gridCol w:w="877"/>
        <w:gridCol w:w="1091"/>
      </w:tblGrid>
      <w:tr w:rsidR="001B5FEA" w:rsidRPr="00194374" w14:paraId="5FFED33C" w14:textId="77777777" w:rsidTr="00F33770">
        <w:trPr>
          <w:trHeight w:val="523"/>
          <w:jc w:val="right"/>
        </w:trPr>
        <w:tc>
          <w:tcPr>
            <w:tcW w:w="656" w:type="pct"/>
            <w:tcBorders>
              <w:bottom w:val="nil"/>
            </w:tcBorders>
            <w:shd w:val="solid" w:color="000000" w:fill="FFFFFF"/>
          </w:tcPr>
          <w:p w14:paraId="70F1AA6A"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lastRenderedPageBreak/>
              <w:t xml:space="preserve">XR Type </w:t>
            </w:r>
            <w:r w:rsidRPr="00194374">
              <w:rPr>
                <w:rFonts w:ascii="Arial" w:eastAsia="맑은 고딕" w:hAnsi="Arial" w:cs="Arial"/>
                <w:b/>
                <w:kern w:val="0"/>
                <w:sz w:val="18"/>
                <w:szCs w:val="20"/>
                <w:lang w:val="en-GB" w:eastAsia="en-US"/>
              </w:rPr>
              <w:br/>
              <w:t>Number</w:t>
            </w:r>
          </w:p>
        </w:tc>
        <w:tc>
          <w:tcPr>
            <w:tcW w:w="1180" w:type="pct"/>
            <w:tcBorders>
              <w:bottom w:val="nil"/>
            </w:tcBorders>
            <w:shd w:val="solid" w:color="000000" w:fill="FFFFFF"/>
          </w:tcPr>
          <w:p w14:paraId="02238D69"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XR Device Type</w:t>
            </w:r>
            <w:r w:rsidRPr="00194374">
              <w:rPr>
                <w:rFonts w:ascii="Arial" w:eastAsia="맑은 고딕" w:hAnsi="Arial" w:cs="Arial"/>
                <w:b/>
                <w:kern w:val="0"/>
                <w:sz w:val="18"/>
                <w:szCs w:val="20"/>
                <w:lang w:val="en-GB" w:eastAsia="en-US"/>
              </w:rPr>
              <w:br/>
              <w:t>Name</w:t>
            </w:r>
          </w:p>
        </w:tc>
        <w:tc>
          <w:tcPr>
            <w:tcW w:w="886" w:type="pct"/>
            <w:tcBorders>
              <w:bottom w:val="nil"/>
            </w:tcBorders>
            <w:shd w:val="solid" w:color="000000" w:fill="FFFFFF"/>
          </w:tcPr>
          <w:p w14:paraId="28F4B403"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Tethering</w:t>
            </w:r>
            <w:r w:rsidRPr="00194374">
              <w:rPr>
                <w:rFonts w:ascii="Arial" w:eastAsia="맑은 고딕" w:hAnsi="Arial" w:cs="Arial"/>
                <w:b/>
                <w:kern w:val="0"/>
                <w:sz w:val="18"/>
                <w:szCs w:val="20"/>
                <w:lang w:val="en-GB" w:eastAsia="en-US"/>
              </w:rPr>
              <w:br/>
              <w:t>Examples</w:t>
            </w:r>
          </w:p>
        </w:tc>
        <w:tc>
          <w:tcPr>
            <w:tcW w:w="590" w:type="pct"/>
            <w:tcBorders>
              <w:bottom w:val="nil"/>
            </w:tcBorders>
            <w:shd w:val="solid" w:color="000000" w:fill="FFFFFF"/>
          </w:tcPr>
          <w:p w14:paraId="4EAA99C7"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5G Uu Modem</w:t>
            </w:r>
          </w:p>
        </w:tc>
        <w:tc>
          <w:tcPr>
            <w:tcW w:w="664" w:type="pct"/>
            <w:tcBorders>
              <w:bottom w:val="nil"/>
            </w:tcBorders>
            <w:shd w:val="solid" w:color="000000" w:fill="FFFFFF"/>
          </w:tcPr>
          <w:p w14:paraId="01DA4B1A"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XR Engine Localization</w:t>
            </w:r>
          </w:p>
        </w:tc>
        <w:tc>
          <w:tcPr>
            <w:tcW w:w="456" w:type="pct"/>
            <w:tcBorders>
              <w:bottom w:val="nil"/>
            </w:tcBorders>
            <w:shd w:val="solid" w:color="000000" w:fill="FFFFFF"/>
          </w:tcPr>
          <w:p w14:paraId="2E7FD5D3"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Power Supply</w:t>
            </w:r>
          </w:p>
        </w:tc>
        <w:tc>
          <w:tcPr>
            <w:tcW w:w="568" w:type="pct"/>
            <w:tcBorders>
              <w:bottom w:val="nil"/>
            </w:tcBorders>
            <w:shd w:val="solid" w:color="000000" w:fill="FFFFFF"/>
          </w:tcPr>
          <w:p w14:paraId="793ACE07"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Typical Max Avail Power</w:t>
            </w:r>
          </w:p>
        </w:tc>
      </w:tr>
      <w:tr w:rsidR="001B5FEA" w:rsidRPr="00194374" w14:paraId="1EF77623" w14:textId="77777777" w:rsidTr="00F33770">
        <w:trPr>
          <w:trHeight w:val="342"/>
          <w:jc w:val="right"/>
        </w:trPr>
        <w:tc>
          <w:tcPr>
            <w:tcW w:w="656" w:type="pct"/>
            <w:tcBorders>
              <w:top w:val="nil"/>
              <w:bottom w:val="single" w:sz="8" w:space="0" w:color="000000"/>
              <w:right w:val="single" w:sz="8" w:space="0" w:color="000000"/>
            </w:tcBorders>
          </w:tcPr>
          <w:p w14:paraId="4DFA85D4"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XR5G-P1</w:t>
            </w:r>
          </w:p>
        </w:tc>
        <w:tc>
          <w:tcPr>
            <w:tcW w:w="1180" w:type="pct"/>
            <w:tcBorders>
              <w:top w:val="nil"/>
              <w:left w:val="single" w:sz="8" w:space="0" w:color="000000"/>
              <w:bottom w:val="single" w:sz="8" w:space="0" w:color="000000"/>
              <w:right w:val="single" w:sz="8" w:space="0" w:color="000000"/>
            </w:tcBorders>
            <w:shd w:val="clear" w:color="auto" w:fill="auto"/>
          </w:tcPr>
          <w:p w14:paraId="1EECF879"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Phone</w:t>
            </w:r>
          </w:p>
        </w:tc>
        <w:tc>
          <w:tcPr>
            <w:tcW w:w="886" w:type="pct"/>
            <w:tcBorders>
              <w:top w:val="nil"/>
              <w:left w:val="single" w:sz="8" w:space="0" w:color="000000"/>
              <w:bottom w:val="single" w:sz="8" w:space="0" w:color="000000"/>
              <w:right w:val="single" w:sz="8" w:space="0" w:color="000000"/>
            </w:tcBorders>
            <w:shd w:val="clear" w:color="auto" w:fill="auto"/>
          </w:tcPr>
          <w:p w14:paraId="0405075D"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nil"/>
              <w:left w:val="single" w:sz="8" w:space="0" w:color="000000"/>
              <w:bottom w:val="single" w:sz="8" w:space="0" w:color="000000"/>
              <w:right w:val="single" w:sz="8" w:space="0" w:color="000000"/>
            </w:tcBorders>
            <w:shd w:val="clear" w:color="auto" w:fill="auto"/>
          </w:tcPr>
          <w:p w14:paraId="4FF8204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nil"/>
              <w:left w:val="single" w:sz="8" w:space="0" w:color="000000"/>
              <w:bottom w:val="single" w:sz="8" w:space="0" w:color="000000"/>
              <w:right w:val="single" w:sz="8" w:space="0" w:color="000000"/>
            </w:tcBorders>
            <w:shd w:val="clear" w:color="auto" w:fill="auto"/>
          </w:tcPr>
          <w:p w14:paraId="7CFA0A31"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nil"/>
              <w:left w:val="single" w:sz="8" w:space="0" w:color="000000"/>
              <w:bottom w:val="single" w:sz="8" w:space="0" w:color="000000"/>
              <w:right w:val="single" w:sz="8" w:space="0" w:color="000000"/>
            </w:tcBorders>
          </w:tcPr>
          <w:p w14:paraId="1F65FCED"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nil"/>
              <w:left w:val="single" w:sz="8" w:space="0" w:color="000000"/>
              <w:bottom w:val="single" w:sz="8" w:space="0" w:color="000000"/>
            </w:tcBorders>
          </w:tcPr>
          <w:p w14:paraId="26A4E525"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3-5 W</w:t>
            </w:r>
          </w:p>
        </w:tc>
      </w:tr>
      <w:tr w:rsidR="001B5FEA" w:rsidRPr="00194374" w14:paraId="71E7F06F" w14:textId="77777777" w:rsidTr="00F33770">
        <w:trPr>
          <w:trHeight w:val="342"/>
          <w:jc w:val="right"/>
        </w:trPr>
        <w:tc>
          <w:tcPr>
            <w:tcW w:w="656" w:type="pct"/>
            <w:tcBorders>
              <w:top w:val="single" w:sz="8" w:space="0" w:color="000000"/>
              <w:bottom w:val="single" w:sz="8" w:space="0" w:color="000000"/>
              <w:right w:val="single" w:sz="8" w:space="0" w:color="000000"/>
            </w:tcBorders>
          </w:tcPr>
          <w:p w14:paraId="167BF15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XR5G-V1</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2BE5405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Simple VR Viewer wired tethering </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14E10406"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USB-C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17640E2F"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7480D6CC"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tcPr>
          <w:p w14:paraId="0DBD3305"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568" w:type="pct"/>
            <w:tcBorders>
              <w:top w:val="single" w:sz="8" w:space="0" w:color="000000"/>
              <w:left w:val="single" w:sz="8" w:space="0" w:color="000000"/>
              <w:bottom w:val="single" w:sz="8" w:space="0" w:color="000000"/>
            </w:tcBorders>
          </w:tcPr>
          <w:p w14:paraId="2E5AF14D"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2-5 W</w:t>
            </w:r>
          </w:p>
        </w:tc>
      </w:tr>
      <w:tr w:rsidR="001B5FEA" w:rsidRPr="00194374" w14:paraId="30F94A9B" w14:textId="77777777" w:rsidTr="00F33770">
        <w:trPr>
          <w:trHeight w:val="523"/>
          <w:jc w:val="right"/>
        </w:trPr>
        <w:tc>
          <w:tcPr>
            <w:tcW w:w="656" w:type="pct"/>
            <w:tcBorders>
              <w:top w:val="single" w:sz="8" w:space="0" w:color="000000"/>
              <w:bottom w:val="single" w:sz="8" w:space="0" w:color="000000"/>
              <w:right w:val="single" w:sz="8" w:space="0" w:color="000000"/>
            </w:tcBorders>
          </w:tcPr>
          <w:p w14:paraId="69FFCDE1"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XR5G-V2</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158A1ED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VR Viewer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6ECCBE84"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3FB5CD8E"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3C9BA75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tcPr>
          <w:p w14:paraId="3A6E8307"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3CA56AA7"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2-3 W</w:t>
            </w:r>
          </w:p>
        </w:tc>
      </w:tr>
      <w:tr w:rsidR="001B5FEA" w:rsidRPr="00194374" w14:paraId="35B578B7" w14:textId="77777777" w:rsidTr="00F33770">
        <w:trPr>
          <w:trHeight w:val="515"/>
          <w:jc w:val="right"/>
        </w:trPr>
        <w:tc>
          <w:tcPr>
            <w:tcW w:w="656" w:type="pct"/>
            <w:tcBorders>
              <w:top w:val="single" w:sz="8" w:space="0" w:color="000000"/>
              <w:bottom w:val="single" w:sz="8" w:space="0" w:color="000000"/>
              <w:right w:val="single" w:sz="8" w:space="0" w:color="000000"/>
            </w:tcBorders>
          </w:tcPr>
          <w:p w14:paraId="66AFF027"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XR5G-V3</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069CEBD4"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VR Viewer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4D0FC775"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7163AA1E"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17824034"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7AE5D5BE"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5E45C578"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2-3 W</w:t>
            </w:r>
          </w:p>
        </w:tc>
      </w:tr>
      <w:tr w:rsidR="001B5FEA" w:rsidRPr="00194374" w14:paraId="09AFDEE8" w14:textId="77777777" w:rsidTr="00F33770">
        <w:trPr>
          <w:trHeight w:val="351"/>
          <w:jc w:val="right"/>
        </w:trPr>
        <w:tc>
          <w:tcPr>
            <w:tcW w:w="656" w:type="pct"/>
            <w:tcBorders>
              <w:top w:val="single" w:sz="8" w:space="0" w:color="000000"/>
              <w:bottom w:val="single" w:sz="8" w:space="0" w:color="000000"/>
              <w:right w:val="single" w:sz="8" w:space="0" w:color="000000"/>
            </w:tcBorders>
          </w:tcPr>
          <w:p w14:paraId="0DE4E272"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XR5G-V4</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20CFDA5A"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VR HMD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60F8653E"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3450DE5B"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1D6F12F1"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49365EC6"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45DEA6C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3-7 W</w:t>
            </w:r>
          </w:p>
        </w:tc>
      </w:tr>
      <w:tr w:rsidR="001B5FEA" w:rsidRPr="00194374" w14:paraId="318887E3" w14:textId="77777777" w:rsidTr="00F33770">
        <w:trPr>
          <w:trHeight w:val="342"/>
          <w:jc w:val="right"/>
        </w:trPr>
        <w:tc>
          <w:tcPr>
            <w:tcW w:w="656" w:type="pct"/>
            <w:tcBorders>
              <w:top w:val="single" w:sz="8" w:space="0" w:color="000000"/>
              <w:bottom w:val="single" w:sz="8" w:space="0" w:color="000000"/>
              <w:right w:val="single" w:sz="8" w:space="0" w:color="000000"/>
            </w:tcBorders>
            <w:shd w:val="clear" w:color="auto" w:fill="FFFF00"/>
          </w:tcPr>
          <w:p w14:paraId="3B0724E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XR5G-A1</w:t>
            </w:r>
          </w:p>
        </w:tc>
        <w:tc>
          <w:tcPr>
            <w:tcW w:w="1180" w:type="pct"/>
            <w:tcBorders>
              <w:top w:val="single" w:sz="8" w:space="0" w:color="000000"/>
              <w:left w:val="single" w:sz="8" w:space="0" w:color="000000"/>
              <w:bottom w:val="single" w:sz="8" w:space="0" w:color="000000"/>
              <w:right w:val="single" w:sz="8" w:space="0" w:color="000000"/>
            </w:tcBorders>
            <w:shd w:val="clear" w:color="auto" w:fill="FFFF00"/>
          </w:tcPr>
          <w:p w14:paraId="1C1E80DD"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AR Wearable Glass wired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FFFF00"/>
          </w:tcPr>
          <w:p w14:paraId="59426FCE"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USB-C</w:t>
            </w:r>
          </w:p>
        </w:tc>
        <w:tc>
          <w:tcPr>
            <w:tcW w:w="590" w:type="pct"/>
            <w:tcBorders>
              <w:top w:val="single" w:sz="8" w:space="0" w:color="000000"/>
              <w:left w:val="single" w:sz="8" w:space="0" w:color="000000"/>
              <w:bottom w:val="single" w:sz="8" w:space="0" w:color="000000"/>
              <w:right w:val="single" w:sz="8" w:space="0" w:color="000000"/>
            </w:tcBorders>
            <w:shd w:val="clear" w:color="auto" w:fill="FFFF00"/>
          </w:tcPr>
          <w:p w14:paraId="64C823A6"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FFFF00"/>
          </w:tcPr>
          <w:p w14:paraId="6D0C9422"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shd w:val="clear" w:color="auto" w:fill="FFFF00"/>
          </w:tcPr>
          <w:p w14:paraId="169BCDB9"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568" w:type="pct"/>
            <w:tcBorders>
              <w:top w:val="single" w:sz="8" w:space="0" w:color="000000"/>
              <w:left w:val="single" w:sz="8" w:space="0" w:color="000000"/>
              <w:bottom w:val="single" w:sz="8" w:space="0" w:color="000000"/>
            </w:tcBorders>
            <w:shd w:val="clear" w:color="auto" w:fill="FFFF00"/>
          </w:tcPr>
          <w:p w14:paraId="722FDEF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1-3 W</w:t>
            </w:r>
          </w:p>
        </w:tc>
      </w:tr>
      <w:tr w:rsidR="001B5FEA" w:rsidRPr="00194374" w14:paraId="5D608069" w14:textId="77777777" w:rsidTr="00F33770">
        <w:trPr>
          <w:trHeight w:val="523"/>
          <w:jc w:val="right"/>
        </w:trPr>
        <w:tc>
          <w:tcPr>
            <w:tcW w:w="656" w:type="pct"/>
            <w:tcBorders>
              <w:top w:val="single" w:sz="8" w:space="0" w:color="000000"/>
              <w:bottom w:val="single" w:sz="8" w:space="0" w:color="000000"/>
              <w:right w:val="single" w:sz="8" w:space="0" w:color="000000"/>
            </w:tcBorders>
            <w:shd w:val="clear" w:color="auto" w:fill="FFFF00"/>
          </w:tcPr>
          <w:p w14:paraId="5DD1DC1D"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XR5G-A2</w:t>
            </w:r>
          </w:p>
        </w:tc>
        <w:tc>
          <w:tcPr>
            <w:tcW w:w="1180" w:type="pct"/>
            <w:tcBorders>
              <w:top w:val="single" w:sz="8" w:space="0" w:color="000000"/>
              <w:left w:val="single" w:sz="8" w:space="0" w:color="000000"/>
              <w:bottom w:val="single" w:sz="8" w:space="0" w:color="000000"/>
              <w:right w:val="single" w:sz="8" w:space="0" w:color="000000"/>
            </w:tcBorders>
            <w:shd w:val="clear" w:color="auto" w:fill="FFFF00"/>
          </w:tcPr>
          <w:p w14:paraId="56F63DC5"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AR Wearable Glass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FFFF00"/>
          </w:tcPr>
          <w:p w14:paraId="3FAC845C"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FFFF00"/>
          </w:tcPr>
          <w:p w14:paraId="585E966F"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FFFF00"/>
          </w:tcPr>
          <w:p w14:paraId="3FBE186F"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shd w:val="clear" w:color="auto" w:fill="FFFF00"/>
          </w:tcPr>
          <w:p w14:paraId="7ABC3AAE" w14:textId="77777777" w:rsidR="001B5FEA" w:rsidRPr="00194374" w:rsidDel="00C0189D"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shd w:val="clear" w:color="auto" w:fill="FFFF00"/>
          </w:tcPr>
          <w:p w14:paraId="222415AE"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0.5 – 2 W</w:t>
            </w:r>
          </w:p>
        </w:tc>
      </w:tr>
      <w:tr w:rsidR="001B5FEA" w:rsidRPr="00194374" w14:paraId="34AB6D7D" w14:textId="77777777" w:rsidTr="00F33770">
        <w:trPr>
          <w:trHeight w:val="342"/>
          <w:jc w:val="right"/>
        </w:trPr>
        <w:tc>
          <w:tcPr>
            <w:tcW w:w="656" w:type="pct"/>
            <w:tcBorders>
              <w:top w:val="single" w:sz="8" w:space="0" w:color="000000"/>
              <w:bottom w:val="single" w:sz="8" w:space="0" w:color="000000"/>
              <w:right w:val="single" w:sz="8" w:space="0" w:color="000000"/>
            </w:tcBorders>
          </w:tcPr>
          <w:p w14:paraId="5A2B31EE"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XR5G-A3</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462765FB"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AR HMD see-through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708024F3"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n/a </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7F166526"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19337225"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65AEBB59"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7B56313A"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3-7 W</w:t>
            </w:r>
          </w:p>
        </w:tc>
      </w:tr>
      <w:tr w:rsidR="001B5FEA" w:rsidRPr="00194374" w14:paraId="1A8CD8A9" w14:textId="77777777" w:rsidTr="00F33770">
        <w:trPr>
          <w:trHeight w:val="351"/>
          <w:jc w:val="right"/>
        </w:trPr>
        <w:tc>
          <w:tcPr>
            <w:tcW w:w="656" w:type="pct"/>
            <w:tcBorders>
              <w:top w:val="single" w:sz="8" w:space="0" w:color="000000"/>
              <w:bottom w:val="single" w:sz="8" w:space="0" w:color="000000"/>
              <w:right w:val="single" w:sz="8" w:space="0" w:color="000000"/>
            </w:tcBorders>
          </w:tcPr>
          <w:p w14:paraId="2F943226"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XR5G-A4</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63549832"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AR Wearable Glass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3F5F9F70"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52746D65"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57959022"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1FC75D64"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3E569487"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2 - 4 W </w:t>
            </w:r>
          </w:p>
        </w:tc>
      </w:tr>
      <w:tr w:rsidR="001B5FEA" w:rsidRPr="00194374" w14:paraId="73192929" w14:textId="77777777" w:rsidTr="00F33770">
        <w:trPr>
          <w:trHeight w:val="33"/>
          <w:jc w:val="right"/>
        </w:trPr>
        <w:tc>
          <w:tcPr>
            <w:tcW w:w="656" w:type="pct"/>
            <w:tcBorders>
              <w:top w:val="single" w:sz="8" w:space="0" w:color="000000"/>
              <w:bottom w:val="single" w:sz="12" w:space="0" w:color="000000"/>
              <w:right w:val="single" w:sz="8" w:space="0" w:color="000000"/>
            </w:tcBorders>
            <w:shd w:val="clear" w:color="auto" w:fill="FFFF00"/>
          </w:tcPr>
          <w:p w14:paraId="2860882A"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XR5G-A5</w:t>
            </w:r>
          </w:p>
        </w:tc>
        <w:tc>
          <w:tcPr>
            <w:tcW w:w="1180" w:type="pct"/>
            <w:tcBorders>
              <w:top w:val="single" w:sz="8" w:space="0" w:color="000000"/>
              <w:left w:val="single" w:sz="8" w:space="0" w:color="000000"/>
              <w:bottom w:val="single" w:sz="12" w:space="0" w:color="000000"/>
              <w:right w:val="single" w:sz="8" w:space="0" w:color="000000"/>
            </w:tcBorders>
            <w:shd w:val="clear" w:color="auto" w:fill="FFFF00"/>
          </w:tcPr>
          <w:p w14:paraId="1A5472A6"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AR Wearable Glass wireless tethering</w:t>
            </w:r>
          </w:p>
        </w:tc>
        <w:tc>
          <w:tcPr>
            <w:tcW w:w="886" w:type="pct"/>
            <w:tcBorders>
              <w:top w:val="single" w:sz="8" w:space="0" w:color="000000"/>
              <w:left w:val="single" w:sz="8" w:space="0" w:color="000000"/>
              <w:bottom w:val="single" w:sz="12" w:space="0" w:color="000000"/>
              <w:right w:val="single" w:sz="8" w:space="0" w:color="000000"/>
            </w:tcBorders>
            <w:shd w:val="clear" w:color="auto" w:fill="FFFF00"/>
          </w:tcPr>
          <w:p w14:paraId="34BF1768"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12" w:space="0" w:color="000000"/>
              <w:right w:val="single" w:sz="8" w:space="0" w:color="000000"/>
            </w:tcBorders>
            <w:shd w:val="clear" w:color="auto" w:fill="FFFF00"/>
          </w:tcPr>
          <w:p w14:paraId="21F1C71A"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12" w:space="0" w:color="000000"/>
              <w:right w:val="single" w:sz="8" w:space="0" w:color="000000"/>
            </w:tcBorders>
            <w:shd w:val="clear" w:color="auto" w:fill="FFFF00"/>
          </w:tcPr>
          <w:p w14:paraId="536FED83"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12" w:space="0" w:color="000000"/>
              <w:right w:val="single" w:sz="8" w:space="0" w:color="000000"/>
            </w:tcBorders>
            <w:shd w:val="clear" w:color="auto" w:fill="FFFF00"/>
          </w:tcPr>
          <w:p w14:paraId="07F795DB"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12" w:space="0" w:color="000000"/>
            </w:tcBorders>
            <w:shd w:val="clear" w:color="auto" w:fill="FFFF00"/>
          </w:tcPr>
          <w:p w14:paraId="403CAF2D" w14:textId="77777777" w:rsidR="001B5FEA" w:rsidRPr="00194374" w:rsidRDefault="001B5FEA" w:rsidP="00F33770">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0.5 – 2 W</w:t>
            </w:r>
          </w:p>
        </w:tc>
      </w:tr>
    </w:tbl>
    <w:p w14:paraId="50DCBA96" w14:textId="77777777" w:rsidR="001B5FEA" w:rsidRPr="00194374" w:rsidRDefault="001B5FEA" w:rsidP="00C41A7F">
      <w:pPr>
        <w:widowControl/>
        <w:wordWrap/>
        <w:autoSpaceDE/>
        <w:autoSpaceDN/>
        <w:spacing w:before="120" w:after="120" w:line="240" w:lineRule="auto"/>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3: </w:t>
      </w:r>
      <w:r w:rsidRPr="00194374">
        <w:rPr>
          <w:rFonts w:ascii="Times New Roman" w:eastAsia="바탕" w:hAnsi="Times New Roman" w:cs="Times New Roman"/>
          <w:b/>
          <w:i/>
          <w:kern w:val="0"/>
          <w:sz w:val="22"/>
          <w:lang w:val="en-GB"/>
        </w:rPr>
        <w:t xml:space="preserve">For power consumption evaluation, </w:t>
      </w:r>
      <w:r w:rsidRPr="00194374">
        <w:rPr>
          <w:rFonts w:ascii="Times New Roman" w:eastAsia="바탕" w:hAnsi="Times New Roman" w:cs="Times New Roman" w:hint="eastAsia"/>
          <w:b/>
          <w:i/>
          <w:kern w:val="0"/>
          <w:sz w:val="22"/>
          <w:lang w:val="en-GB"/>
        </w:rPr>
        <w:t>prioritize AR in Dense urban and Urban macro</w:t>
      </w:r>
      <w:r w:rsidRPr="00194374">
        <w:rPr>
          <w:rFonts w:ascii="Times New Roman" w:eastAsia="바탕" w:hAnsi="Times New Roman" w:cs="Times New Roman"/>
          <w:b/>
          <w:i/>
          <w:kern w:val="0"/>
          <w:sz w:val="22"/>
          <w:lang w:val="en-GB"/>
        </w:rPr>
        <w:t xml:space="preserve"> deployment scenarios</w:t>
      </w:r>
    </w:p>
    <w:p w14:paraId="3EEEFDEF" w14:textId="77777777" w:rsidR="001B5FEA" w:rsidRPr="00194374" w:rsidRDefault="001B5FEA" w:rsidP="001B5FEA">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 xml:space="preserve">FR1 </w:t>
      </w:r>
      <w:r>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over FR2</w:t>
      </w:r>
    </w:p>
    <w:p w14:paraId="780EAF3B" w14:textId="77777777" w:rsidR="000F42D9" w:rsidRPr="00194374" w:rsidRDefault="000F42D9" w:rsidP="00194374">
      <w:pPr>
        <w:widowControl/>
        <w:wordWrap/>
        <w:autoSpaceDE/>
        <w:autoSpaceDN/>
        <w:spacing w:before="120" w:after="120" w:line="240" w:lineRule="auto"/>
        <w:rPr>
          <w:rFonts w:ascii="Times New Roman" w:eastAsia="바탕" w:hAnsi="Times New Roman" w:cs="Times New Roman"/>
          <w:kern w:val="0"/>
          <w:sz w:val="22"/>
          <w:lang w:val="en-GB"/>
        </w:rPr>
      </w:pPr>
    </w:p>
    <w:p w14:paraId="581D0ED0" w14:textId="77777777" w:rsidR="00A958EA" w:rsidRPr="008F6557" w:rsidRDefault="00A958EA" w:rsidP="00A958EA">
      <w:pPr>
        <w:pStyle w:val="1"/>
        <w:numPr>
          <w:ilvl w:val="0"/>
          <w:numId w:val="1"/>
        </w:numPr>
        <w:rPr>
          <w:rFonts w:eastAsia="바탕"/>
          <w:b/>
          <w:lang w:eastAsia="ko-KR"/>
        </w:rPr>
      </w:pPr>
      <w:r w:rsidRPr="008F6557">
        <w:rPr>
          <w:rFonts w:eastAsia="바탕"/>
          <w:b/>
          <w:lang w:eastAsia="ko-KR"/>
        </w:rPr>
        <w:t>Summary</w:t>
      </w:r>
    </w:p>
    <w:p w14:paraId="011C9196" w14:textId="7A5769A5" w:rsidR="004E1969"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this paper, we discussed </w:t>
      </w:r>
      <w:r w:rsidR="00AC6A5F" w:rsidRPr="008F6557">
        <w:rPr>
          <w:rFonts w:ascii="Times New Roman" w:eastAsia="바탕" w:hAnsi="Times New Roman" w:cs="Times New Roman"/>
          <w:kern w:val="0"/>
          <w:sz w:val="22"/>
          <w:lang w:val="en-GB"/>
        </w:rPr>
        <w:t xml:space="preserve">further aspects on evaluation </w:t>
      </w:r>
      <w:r w:rsidR="001B1500">
        <w:rPr>
          <w:rFonts w:ascii="Times New Roman" w:eastAsia="바탕" w:hAnsi="Times New Roman" w:cs="Times New Roman"/>
          <w:kern w:val="0"/>
          <w:sz w:val="22"/>
          <w:lang w:val="en-GB"/>
        </w:rPr>
        <w:t>methodologies</w:t>
      </w:r>
      <w:r w:rsidR="001B1500" w:rsidRPr="008F6557">
        <w:rPr>
          <w:rFonts w:ascii="Times New Roman" w:eastAsia="바탕" w:hAnsi="Times New Roman" w:cs="Times New Roman"/>
          <w:kern w:val="0"/>
          <w:sz w:val="22"/>
          <w:lang w:val="en-GB"/>
        </w:rPr>
        <w:t xml:space="preserve"> </w:t>
      </w:r>
      <w:r w:rsidR="00AC6A5F" w:rsidRPr="008F6557">
        <w:rPr>
          <w:rFonts w:ascii="Times New Roman" w:eastAsia="바탕" w:hAnsi="Times New Roman" w:cs="Times New Roman"/>
          <w:kern w:val="0"/>
          <w:sz w:val="22"/>
          <w:lang w:val="en-GB"/>
        </w:rPr>
        <w:t>for RAN1 study on XR operation in NR</w:t>
      </w:r>
      <w:r w:rsidR="00597EC2" w:rsidRPr="008F6557">
        <w:rPr>
          <w:rFonts w:ascii="Times New Roman" w:eastAsia="바탕" w:hAnsi="Times New Roman" w:cs="Times New Roman"/>
          <w:kern w:val="0"/>
          <w:sz w:val="22"/>
          <w:lang w:val="en-GB"/>
        </w:rPr>
        <w:t>.</w:t>
      </w:r>
      <w:r w:rsidR="00F511C6" w:rsidRPr="008F6557">
        <w:rPr>
          <w:rFonts w:ascii="Times New Roman" w:eastAsia="바탕" w:hAnsi="Times New Roman" w:cs="Times New Roman"/>
          <w:kern w:val="0"/>
          <w:sz w:val="22"/>
          <w:lang w:val="en-GB"/>
        </w:rPr>
        <w:t xml:space="preserve"> </w:t>
      </w:r>
      <w:r w:rsidR="00501F6C">
        <w:rPr>
          <w:rFonts w:ascii="Times New Roman" w:eastAsia="바탕" w:hAnsi="Times New Roman" w:cs="Times New Roman"/>
          <w:kern w:val="0"/>
          <w:sz w:val="22"/>
          <w:lang w:val="en-GB"/>
        </w:rPr>
        <w:t>P</w:t>
      </w:r>
      <w:r w:rsidR="00F511C6" w:rsidRPr="008F6557">
        <w:rPr>
          <w:rFonts w:ascii="Times New Roman" w:eastAsia="바탕" w:hAnsi="Times New Roman" w:cs="Times New Roman"/>
          <w:kern w:val="0"/>
          <w:sz w:val="22"/>
          <w:lang w:val="en-GB"/>
        </w:rPr>
        <w:t>roposals</w:t>
      </w:r>
      <w:r w:rsidR="00501F6C">
        <w:rPr>
          <w:rFonts w:ascii="Times New Roman" w:eastAsia="바탕" w:hAnsi="Times New Roman" w:cs="Times New Roman"/>
          <w:kern w:val="0"/>
          <w:sz w:val="22"/>
          <w:lang w:val="en-GB"/>
        </w:rPr>
        <w:t xml:space="preserve"> and observations</w:t>
      </w:r>
      <w:r w:rsidR="00F511C6" w:rsidRPr="008F6557">
        <w:rPr>
          <w:rFonts w:ascii="Times New Roman" w:eastAsia="바탕" w:hAnsi="Times New Roman" w:cs="Times New Roman"/>
          <w:kern w:val="0"/>
          <w:sz w:val="22"/>
          <w:lang w:val="en-GB"/>
        </w:rPr>
        <w:t xml:space="preserve"> in this paper are summarized below.</w:t>
      </w:r>
    </w:p>
    <w:p w14:paraId="26A5C797" w14:textId="77777777" w:rsidR="001B5FEA" w:rsidRDefault="001B5FEA" w:rsidP="001B5FEA">
      <w:pPr>
        <w:widowControl/>
        <w:wordWrap/>
        <w:autoSpaceDE/>
        <w:autoSpaceDN/>
        <w:spacing w:before="120" w:after="120" w:line="240" w:lineRule="auto"/>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r>
        <w:rPr>
          <w:rFonts w:ascii="Times New Roman" w:eastAsia="바탕" w:hAnsi="Times New Roman" w:cs="Times New Roman"/>
          <w:b/>
          <w:i/>
          <w:kern w:val="0"/>
          <w:sz w:val="22"/>
          <w:lang w:val="en-GB"/>
        </w:rPr>
        <w:t>Further discuss the objective of coverage evaluation for XR and the coverage evaluation methodology with the following note from the Chairman’s Notes in RAN1#105-e as a starting point:</w:t>
      </w:r>
    </w:p>
    <w:p w14:paraId="40E6B8E2" w14:textId="77777777" w:rsidR="001B5FEA" w:rsidRPr="00F33770" w:rsidRDefault="001B5FEA" w:rsidP="001B5FEA">
      <w:pPr>
        <w:widowControl/>
        <w:wordWrap/>
        <w:autoSpaceDE/>
        <w:autoSpaceDN/>
        <w:spacing w:after="0" w:line="240" w:lineRule="auto"/>
        <w:ind w:leftChars="213" w:left="427" w:hanging="1"/>
        <w:rPr>
          <w:rFonts w:ascii="Times New Roman" w:eastAsia="Times New Roman" w:hAnsi="Times New Roman" w:cs="Times New Roman"/>
          <w:b/>
          <w:bCs/>
          <w:kern w:val="0"/>
          <w:sz w:val="22"/>
          <w:lang w:val="en-GB" w:eastAsia="en-US"/>
        </w:rPr>
      </w:pPr>
      <w:r w:rsidRPr="00F33770">
        <w:rPr>
          <w:rFonts w:ascii="Times New Roman" w:eastAsia="Times New Roman" w:hAnsi="Times New Roman" w:cs="Times New Roman"/>
          <w:b/>
          <w:bCs/>
          <w:kern w:val="0"/>
          <w:sz w:val="22"/>
          <w:lang w:val="en-GB" w:eastAsia="en-US"/>
        </w:rPr>
        <w:t>For companies to further study and if necessary, discuss in RAN1#106-e</w:t>
      </w:r>
    </w:p>
    <w:p w14:paraId="6E4F8573" w14:textId="77777777" w:rsidR="001B5FEA" w:rsidRPr="00F33770" w:rsidRDefault="001B5FEA" w:rsidP="001B5FEA">
      <w:pPr>
        <w:widowControl/>
        <w:wordWrap/>
        <w:autoSpaceDE/>
        <w:autoSpaceDN/>
        <w:spacing w:after="0" w:line="240" w:lineRule="auto"/>
        <w:ind w:leftChars="213" w:left="427" w:hanging="1"/>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b/>
          <w:bCs/>
          <w:kern w:val="0"/>
          <w:sz w:val="22"/>
          <w:lang w:val="en-GB" w:eastAsia="en-US"/>
        </w:rPr>
        <w:lastRenderedPageBreak/>
        <w:t xml:space="preserve">(Coverage evaluation methodology) </w:t>
      </w:r>
      <w:r w:rsidRPr="00F33770">
        <w:rPr>
          <w:rFonts w:ascii="Times New Roman" w:eastAsia="Times New Roman" w:hAnsi="Times New Roman" w:cs="Times New Roman"/>
          <w:kern w:val="0"/>
          <w:sz w:val="22"/>
          <w:lang w:val="en-GB" w:eastAsia="en-US"/>
        </w:rPr>
        <w:t>For XR/CG in DL or UL, coverage is defined to be the A-percentile point in CDF of Coupling gain for the “satisfied” UEs, with #UEs per cell = B, for a given XR application (AR/VR/CG) in a given deployment scenario (DU/InH/UMa)</w:t>
      </w:r>
    </w:p>
    <w:p w14:paraId="7BBF7453" w14:textId="77777777" w:rsidR="001B5FEA" w:rsidRPr="00F33770" w:rsidRDefault="001B5FEA" w:rsidP="001B5FEA">
      <w:pPr>
        <w:widowControl/>
        <w:numPr>
          <w:ilvl w:val="1"/>
          <w:numId w:val="53"/>
        </w:numPr>
        <w:wordWrap/>
        <w:autoSpaceDE/>
        <w:autoSpaceDN/>
        <w:spacing w:after="0" w:line="240" w:lineRule="auto"/>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kern w:val="0"/>
          <w:sz w:val="22"/>
          <w:lang w:val="en-GB" w:eastAsia="en-US"/>
        </w:rPr>
        <w:t>A = [5], other value can also be reported</w:t>
      </w:r>
    </w:p>
    <w:p w14:paraId="7ADE958D" w14:textId="77777777" w:rsidR="001B5FEA" w:rsidRPr="00F33770" w:rsidRDefault="001B5FEA" w:rsidP="001B5FEA">
      <w:pPr>
        <w:widowControl/>
        <w:numPr>
          <w:ilvl w:val="1"/>
          <w:numId w:val="53"/>
        </w:numPr>
        <w:wordWrap/>
        <w:autoSpaceDE/>
        <w:autoSpaceDN/>
        <w:spacing w:after="0" w:line="240" w:lineRule="auto"/>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kern w:val="0"/>
          <w:sz w:val="22"/>
          <w:lang w:val="en-GB" w:eastAsia="en-US"/>
        </w:rPr>
        <w:t xml:space="preserve">FFS: Value of B, </w:t>
      </w:r>
      <w:r w:rsidRPr="00F33770">
        <w:rPr>
          <w:rFonts w:ascii="Times New Roman" w:eastAsia="Times New Roman" w:hAnsi="Times New Roman" w:cs="Times New Roman"/>
          <w:color w:val="FF0000"/>
          <w:kern w:val="0"/>
          <w:sz w:val="22"/>
          <w:lang w:val="en-GB" w:eastAsia="en-US"/>
        </w:rPr>
        <w:t>e.g. B = 1, capacity, etc.</w:t>
      </w:r>
    </w:p>
    <w:p w14:paraId="481C36BC" w14:textId="77777777" w:rsidR="001B5FEA" w:rsidRPr="00F33770" w:rsidRDefault="001B5FEA" w:rsidP="001B5FEA">
      <w:pPr>
        <w:widowControl/>
        <w:numPr>
          <w:ilvl w:val="1"/>
          <w:numId w:val="53"/>
        </w:numPr>
        <w:wordWrap/>
        <w:autoSpaceDE/>
        <w:autoSpaceDN/>
        <w:spacing w:after="0" w:line="240" w:lineRule="auto"/>
        <w:rPr>
          <w:rFonts w:ascii="Times New Roman" w:eastAsia="Times New Roman" w:hAnsi="Times New Roman" w:cs="Times New Roman"/>
          <w:kern w:val="0"/>
          <w:sz w:val="22"/>
          <w:lang w:val="en-GB" w:eastAsia="en-US"/>
        </w:rPr>
      </w:pPr>
      <w:r w:rsidRPr="00F33770">
        <w:rPr>
          <w:rFonts w:ascii="Times New Roman" w:eastAsia="Times New Roman" w:hAnsi="Times New Roman" w:cs="Times New Roman"/>
          <w:kern w:val="0"/>
          <w:sz w:val="22"/>
          <w:lang w:val="en-GB" w:eastAsia="en-US"/>
        </w:rPr>
        <w:t>Note: Coupling gain for coverage evaluation is defined as the ratio of received and transmitted power measured in dB, and includes antenna gains, path loss, shadowing, indoor- or body loss, etc. Example of coupling gain can refer to TR 37.910.</w:t>
      </w:r>
    </w:p>
    <w:p w14:paraId="7D6CB584" w14:textId="77777777" w:rsidR="001B5FEA" w:rsidRPr="005F30E0" w:rsidRDefault="001B5FEA" w:rsidP="001B5FEA">
      <w:pPr>
        <w:widowControl/>
        <w:wordWrap/>
        <w:autoSpaceDE/>
        <w:autoSpaceDN/>
        <w:spacing w:before="120" w:after="120" w:line="240" w:lineRule="auto"/>
        <w:ind w:leftChars="213" w:left="427" w:hanging="1"/>
        <w:rPr>
          <w:rFonts w:ascii="Times New Roman" w:eastAsia="바탕" w:hAnsi="Times New Roman" w:cs="Times New Roman"/>
          <w:b/>
          <w:i/>
          <w:kern w:val="0"/>
          <w:sz w:val="22"/>
          <w:lang w:val="en-GB"/>
        </w:rPr>
      </w:pPr>
      <w:r w:rsidRPr="00F33770">
        <w:rPr>
          <w:rFonts w:ascii="Times New Roman" w:eastAsia="Times New Roman" w:hAnsi="Times New Roman" w:cs="Times New Roman"/>
          <w:kern w:val="0"/>
          <w:sz w:val="22"/>
          <w:lang w:val="en-GB" w:eastAsia="en-US"/>
        </w:rPr>
        <w:t>An alternate method could be to use the “traditional” method such as what is used in the CE study/work item.</w:t>
      </w:r>
    </w:p>
    <w:p w14:paraId="6E01AD3F" w14:textId="77777777" w:rsidR="001B5FEA" w:rsidRPr="005F30E0" w:rsidRDefault="001B5FEA" w:rsidP="001B5FEA">
      <w:pPr>
        <w:widowControl/>
        <w:wordWrap/>
        <w:autoSpaceDE/>
        <w:autoSpaceDN/>
        <w:spacing w:before="120" w:after="120" w:line="240" w:lineRule="auto"/>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w:t>
      </w:r>
      <w:r>
        <w:rPr>
          <w:rFonts w:ascii="Times New Roman" w:eastAsia="바탕" w:hAnsi="Times New Roman" w:cs="Times New Roman"/>
          <w:b/>
          <w:i/>
          <w:kern w:val="0"/>
          <w:sz w:val="22"/>
          <w:lang w:val="en-GB"/>
        </w:rPr>
        <w:t>2</w:t>
      </w:r>
      <w:r w:rsidRPr="008F6557">
        <w:rPr>
          <w:rFonts w:ascii="Times New Roman" w:eastAsia="바탕" w:hAnsi="Times New Roman" w:cs="Times New Roman"/>
          <w:b/>
          <w:i/>
          <w:kern w:val="0"/>
          <w:sz w:val="22"/>
          <w:lang w:val="en-GB"/>
        </w:rPr>
        <w:t xml:space="preserve">: </w:t>
      </w:r>
    </w:p>
    <w:p w14:paraId="516047FE" w14:textId="77777777" w:rsidR="001B5FEA" w:rsidRPr="00194374" w:rsidRDefault="001B5FE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VR1 and VR2 applications, Indoor hotspot is prioritized</w:t>
      </w:r>
    </w:p>
    <w:p w14:paraId="75B6A9B8" w14:textId="77777777" w:rsidR="001B5FEA" w:rsidRPr="00194374" w:rsidRDefault="001B5FE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AR1 and AR2, Dense urban and Urban macro are prioritized</w:t>
      </w:r>
    </w:p>
    <w:p w14:paraId="7B99FEDC" w14:textId="77777777" w:rsidR="001B5FEA" w:rsidRPr="00194374" w:rsidRDefault="001B5FE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CG, Dense urban [and Indoor hotspot] is[/are] prioritized</w:t>
      </w:r>
    </w:p>
    <w:p w14:paraId="5DD34A69" w14:textId="77777777" w:rsidR="001B5FEA" w:rsidRPr="00194374" w:rsidRDefault="001B5FEA" w:rsidP="00C41A7F">
      <w:pPr>
        <w:pStyle w:val="a5"/>
        <w:widowControl/>
        <w:numPr>
          <w:ilvl w:val="0"/>
          <w:numId w:val="45"/>
        </w:numPr>
        <w:wordWrap/>
        <w:autoSpaceDE/>
        <w:autoSpaceDN/>
        <w:spacing w:after="0" w:line="240" w:lineRule="auto"/>
        <w:ind w:leftChars="0" w:left="0" w:firstLineChars="196" w:firstLine="423"/>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 xml:space="preserve">FR1 </w:t>
      </w:r>
      <w:r>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for some of combinations of deployment scenarios and applications, e.g., AR1 and AR2</w:t>
      </w:r>
    </w:p>
    <w:p w14:paraId="01182EE0" w14:textId="77777777" w:rsidR="001B5FEA" w:rsidRPr="00194374" w:rsidRDefault="001B5FEA" w:rsidP="00C41A7F">
      <w:pPr>
        <w:widowControl/>
        <w:wordWrap/>
        <w:autoSpaceDE/>
        <w:autoSpaceDN/>
        <w:spacing w:before="120" w:after="120" w:line="240" w:lineRule="auto"/>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3: </w:t>
      </w:r>
      <w:r w:rsidRPr="00194374">
        <w:rPr>
          <w:rFonts w:ascii="Times New Roman" w:eastAsia="바탕" w:hAnsi="Times New Roman" w:cs="Times New Roman"/>
          <w:b/>
          <w:i/>
          <w:kern w:val="0"/>
          <w:sz w:val="22"/>
          <w:lang w:val="en-GB"/>
        </w:rPr>
        <w:t xml:space="preserve">For power consumption evaluation, </w:t>
      </w:r>
      <w:r w:rsidRPr="00194374">
        <w:rPr>
          <w:rFonts w:ascii="Times New Roman" w:eastAsia="바탕" w:hAnsi="Times New Roman" w:cs="Times New Roman" w:hint="eastAsia"/>
          <w:b/>
          <w:i/>
          <w:kern w:val="0"/>
          <w:sz w:val="22"/>
          <w:lang w:val="en-GB"/>
        </w:rPr>
        <w:t>prioritize AR in Dense urban and Urban macro</w:t>
      </w:r>
      <w:r w:rsidRPr="00194374">
        <w:rPr>
          <w:rFonts w:ascii="Times New Roman" w:eastAsia="바탕" w:hAnsi="Times New Roman" w:cs="Times New Roman"/>
          <w:b/>
          <w:i/>
          <w:kern w:val="0"/>
          <w:sz w:val="22"/>
          <w:lang w:val="en-GB"/>
        </w:rPr>
        <w:t xml:space="preserve"> deployment scenarios</w:t>
      </w:r>
    </w:p>
    <w:p w14:paraId="17CB093D" w14:textId="77777777" w:rsidR="001B5FEA" w:rsidRPr="00194374" w:rsidRDefault="001B5FEA" w:rsidP="001B5FEA">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 xml:space="preserve">FR1 </w:t>
      </w:r>
      <w:r>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over FR2</w:t>
      </w:r>
    </w:p>
    <w:p w14:paraId="14996E67" w14:textId="77777777" w:rsidR="00A5461D" w:rsidRPr="00A5461D" w:rsidRDefault="00A5461D"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68846E67" w14:textId="77777777" w:rsidR="00D57D1C" w:rsidRPr="008F6557" w:rsidRDefault="00D57D1C" w:rsidP="00D57D1C">
      <w:pPr>
        <w:pStyle w:val="1"/>
        <w:numPr>
          <w:ilvl w:val="0"/>
          <w:numId w:val="1"/>
        </w:numPr>
        <w:spacing w:before="300"/>
        <w:rPr>
          <w:rFonts w:eastAsia="바탕"/>
          <w:b/>
          <w:lang w:eastAsia="ko-KR"/>
        </w:rPr>
      </w:pPr>
      <w:r w:rsidRPr="008F6557">
        <w:rPr>
          <w:rFonts w:eastAsia="바탕"/>
          <w:b/>
          <w:lang w:eastAsia="ko-KR"/>
        </w:rPr>
        <w:t>Reference</w:t>
      </w:r>
    </w:p>
    <w:p w14:paraId="3B8C4913" w14:textId="77777777" w:rsidR="00F0147F" w:rsidRPr="008F6557" w:rsidRDefault="00F0147F" w:rsidP="0096705B">
      <w:pPr>
        <w:pStyle w:val="References"/>
      </w:pPr>
      <w:bookmarkStart w:id="4" w:name="_Ref68661514"/>
      <w:r w:rsidRPr="008F6557">
        <w:t>R</w:t>
      </w:r>
      <w:r w:rsidR="0096705B" w:rsidRPr="008F6557">
        <w:t>P-193241, “New SID on XR Evaluations for NR,” Qualcomm</w:t>
      </w:r>
      <w:bookmarkEnd w:id="4"/>
    </w:p>
    <w:p w14:paraId="0FDC27B6" w14:textId="3B37B3F1" w:rsidR="00813CD0" w:rsidRPr="008F6557" w:rsidRDefault="001C69AC" w:rsidP="00813CD0">
      <w:pPr>
        <w:pStyle w:val="References"/>
      </w:pPr>
      <w:bookmarkStart w:id="5" w:name="_Ref68661564"/>
      <w:r w:rsidRPr="008F6557">
        <w:t xml:space="preserve">SP-200054, “Feasibility Study on Typical Traffic Characteristics for XR Services and other Media”, </w:t>
      </w:r>
      <w:r w:rsidRPr="008F6557">
        <w:rPr>
          <w:rFonts w:eastAsiaTheme="minorEastAsia"/>
          <w:lang w:eastAsia="ko-KR"/>
        </w:rPr>
        <w:t>Qualcomm Incorporated, Ericsson LM, OPPO, Intel, LG Electronics Inc.</w:t>
      </w:r>
      <w:bookmarkEnd w:id="5"/>
    </w:p>
    <w:p w14:paraId="2CE7F110" w14:textId="66E4C2F7" w:rsidR="004D0F87" w:rsidRPr="00194374" w:rsidRDefault="004D0F87" w:rsidP="00813CD0">
      <w:pPr>
        <w:pStyle w:val="References"/>
      </w:pPr>
      <w:bookmarkStart w:id="6" w:name="_Ref68661583"/>
      <w:r w:rsidRPr="008F6557">
        <w:t>R1-2009812, “</w:t>
      </w:r>
      <w:r w:rsidRPr="008F6557">
        <w:rPr>
          <w:szCs w:val="22"/>
        </w:rPr>
        <w:t>FL Summary of RAN1 103-e agreements and email discussions on Rel-17 SI on XR evaluations for NR</w:t>
      </w:r>
      <w:r w:rsidRPr="008F6557">
        <w:t xml:space="preserve">,” </w:t>
      </w:r>
      <w:r w:rsidRPr="008F6557">
        <w:rPr>
          <w:rFonts w:cs="Arial"/>
          <w:szCs w:val="22"/>
        </w:rPr>
        <w:t xml:space="preserve">Moderator (Qualcomm, </w:t>
      </w:r>
      <w:r w:rsidRPr="008F6557">
        <w:rPr>
          <w:rFonts w:hint="eastAsia"/>
          <w:szCs w:val="22"/>
          <w:lang w:eastAsia="zh-CN"/>
        </w:rPr>
        <w:t>vivo</w:t>
      </w:r>
      <w:r w:rsidRPr="008F6557">
        <w:rPr>
          <w:szCs w:val="22"/>
          <w:lang w:eastAsia="zh-CN"/>
        </w:rPr>
        <w:t>)</w:t>
      </w:r>
      <w:bookmarkEnd w:id="6"/>
    </w:p>
    <w:p w14:paraId="7CC91273" w14:textId="6AA1EA72" w:rsidR="007E77B1" w:rsidRPr="0096705B" w:rsidRDefault="009D482B" w:rsidP="00194374">
      <w:pPr>
        <w:pStyle w:val="References"/>
      </w:pPr>
      <w:bookmarkStart w:id="7" w:name="_Ref68664075"/>
      <w:r w:rsidRPr="009D482B">
        <w:t>3GPP TR 26.928</w:t>
      </w:r>
      <w:r w:rsidRPr="008C04E2">
        <w:rPr>
          <w:rFonts w:hint="eastAsia"/>
        </w:rPr>
        <w:t xml:space="preserve">, </w:t>
      </w:r>
      <w:r w:rsidRPr="008C04E2">
        <w:t>“</w:t>
      </w:r>
      <w:r>
        <w:t>Extended Reality (XR) in 5G (Release 16)”</w:t>
      </w:r>
      <w:bookmarkStart w:id="8" w:name="_Ref68661915"/>
      <w:bookmarkEnd w:id="7"/>
      <w:bookmarkEnd w:id="8"/>
    </w:p>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87170" w14:textId="77777777" w:rsidR="00581083" w:rsidRDefault="00581083" w:rsidP="00D57D1C">
      <w:pPr>
        <w:spacing w:after="0" w:line="240" w:lineRule="auto"/>
      </w:pPr>
      <w:r>
        <w:separator/>
      </w:r>
    </w:p>
  </w:endnote>
  <w:endnote w:type="continuationSeparator" w:id="0">
    <w:p w14:paraId="2195EF8D" w14:textId="77777777" w:rsidR="00581083" w:rsidRDefault="00581083"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ACE07" w14:textId="77777777" w:rsidR="00581083" w:rsidRDefault="00581083" w:rsidP="00D57D1C">
      <w:pPr>
        <w:spacing w:after="0" w:line="240" w:lineRule="auto"/>
      </w:pPr>
      <w:r>
        <w:separator/>
      </w:r>
    </w:p>
  </w:footnote>
  <w:footnote w:type="continuationSeparator" w:id="0">
    <w:p w14:paraId="45DD828E" w14:textId="77777777" w:rsidR="00581083" w:rsidRDefault="00581083"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50758"/>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E054FE1"/>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1"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5"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EF0A54"/>
    <w:multiLevelType w:val="hybridMultilevel"/>
    <w:tmpl w:val="E810317A"/>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230260"/>
    <w:multiLevelType w:val="hybridMultilevel"/>
    <w:tmpl w:val="75B29A4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3"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81E58"/>
    <w:multiLevelType w:val="hybridMultilevel"/>
    <w:tmpl w:val="A61AC72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7"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3112CB"/>
    <w:multiLevelType w:val="hybridMultilevel"/>
    <w:tmpl w:val="43103C9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2"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5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0"/>
  </w:num>
  <w:num w:numId="4">
    <w:abstractNumId w:val="1"/>
  </w:num>
  <w:num w:numId="5">
    <w:abstractNumId w:val="5"/>
  </w:num>
  <w:num w:numId="6">
    <w:abstractNumId w:val="12"/>
  </w:num>
  <w:num w:numId="7">
    <w:abstractNumId w:val="35"/>
  </w:num>
  <w:num w:numId="8">
    <w:abstractNumId w:val="0"/>
  </w:num>
  <w:num w:numId="9">
    <w:abstractNumId w:val="6"/>
  </w:num>
  <w:num w:numId="10">
    <w:abstractNumId w:val="7"/>
  </w:num>
  <w:num w:numId="11">
    <w:abstractNumId w:val="23"/>
  </w:num>
  <w:num w:numId="12">
    <w:abstractNumId w:val="10"/>
  </w:num>
  <w:num w:numId="13">
    <w:abstractNumId w:val="42"/>
  </w:num>
  <w:num w:numId="14">
    <w:abstractNumId w:val="29"/>
  </w:num>
  <w:num w:numId="15">
    <w:abstractNumId w:val="15"/>
  </w:num>
  <w:num w:numId="16">
    <w:abstractNumId w:val="31"/>
  </w:num>
  <w:num w:numId="17">
    <w:abstractNumId w:val="33"/>
  </w:num>
  <w:num w:numId="18">
    <w:abstractNumId w:val="38"/>
  </w:num>
  <w:num w:numId="19">
    <w:abstractNumId w:val="34"/>
  </w:num>
  <w:num w:numId="20">
    <w:abstractNumId w:val="46"/>
  </w:num>
  <w:num w:numId="21">
    <w:abstractNumId w:val="22"/>
  </w:num>
  <w:num w:numId="22">
    <w:abstractNumId w:val="17"/>
  </w:num>
  <w:num w:numId="23">
    <w:abstractNumId w:val="16"/>
  </w:num>
  <w:num w:numId="24">
    <w:abstractNumId w:val="14"/>
  </w:num>
  <w:num w:numId="25">
    <w:abstractNumId w:val="25"/>
  </w:num>
  <w:num w:numId="26">
    <w:abstractNumId w:val="44"/>
  </w:num>
  <w:num w:numId="27">
    <w:abstractNumId w:val="27"/>
  </w:num>
  <w:num w:numId="28">
    <w:abstractNumId w:val="18"/>
  </w:num>
  <w:num w:numId="29">
    <w:abstractNumId w:val="21"/>
  </w:num>
  <w:num w:numId="30">
    <w:abstractNumId w:val="39"/>
  </w:num>
  <w:num w:numId="31">
    <w:abstractNumId w:val="30"/>
  </w:num>
  <w:num w:numId="32">
    <w:abstractNumId w:val="3"/>
  </w:num>
  <w:num w:numId="33">
    <w:abstractNumId w:val="28"/>
  </w:num>
  <w:num w:numId="34">
    <w:abstractNumId w:val="37"/>
  </w:num>
  <w:num w:numId="35">
    <w:abstractNumId w:val="11"/>
  </w:num>
  <w:num w:numId="36">
    <w:abstractNumId w:val="19"/>
  </w:num>
  <w:num w:numId="37">
    <w:abstractNumId w:val="51"/>
  </w:num>
  <w:num w:numId="38">
    <w:abstractNumId w:val="43"/>
  </w:num>
  <w:num w:numId="39">
    <w:abstractNumId w:val="48"/>
  </w:num>
  <w:num w:numId="40">
    <w:abstractNumId w:val="40"/>
  </w:num>
  <w:num w:numId="41">
    <w:abstractNumId w:val="24"/>
  </w:num>
  <w:num w:numId="42">
    <w:abstractNumId w:val="41"/>
  </w:num>
  <w:num w:numId="43">
    <w:abstractNumId w:val="32"/>
  </w:num>
  <w:num w:numId="44">
    <w:abstractNumId w:val="36"/>
  </w:num>
  <w:num w:numId="45">
    <w:abstractNumId w:val="8"/>
  </w:num>
  <w:num w:numId="46">
    <w:abstractNumId w:val="47"/>
  </w:num>
  <w:num w:numId="47">
    <w:abstractNumId w:val="49"/>
  </w:num>
  <w:num w:numId="48">
    <w:abstractNumId w:val="9"/>
  </w:num>
  <w:num w:numId="49">
    <w:abstractNumId w:val="2"/>
  </w:num>
  <w:num w:numId="50">
    <w:abstractNumId w:val="4"/>
  </w:num>
  <w:num w:numId="51">
    <w:abstractNumId w:val="45"/>
  </w:num>
  <w:num w:numId="52">
    <w:abstractNumId w:val="13"/>
  </w:num>
  <w:num w:numId="53">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47335"/>
    <w:rsid w:val="0006228D"/>
    <w:rsid w:val="00066BE1"/>
    <w:rsid w:val="00090234"/>
    <w:rsid w:val="000971A4"/>
    <w:rsid w:val="000F42D9"/>
    <w:rsid w:val="00102EA8"/>
    <w:rsid w:val="001036DF"/>
    <w:rsid w:val="00110172"/>
    <w:rsid w:val="0014191F"/>
    <w:rsid w:val="00152094"/>
    <w:rsid w:val="00164002"/>
    <w:rsid w:val="001760DB"/>
    <w:rsid w:val="0018307B"/>
    <w:rsid w:val="00194374"/>
    <w:rsid w:val="001A78C0"/>
    <w:rsid w:val="001B1500"/>
    <w:rsid w:val="001B5FEA"/>
    <w:rsid w:val="001C5720"/>
    <w:rsid w:val="001C69AC"/>
    <w:rsid w:val="001F079D"/>
    <w:rsid w:val="001F0F3B"/>
    <w:rsid w:val="001F528E"/>
    <w:rsid w:val="00206594"/>
    <w:rsid w:val="0023051A"/>
    <w:rsid w:val="00230A73"/>
    <w:rsid w:val="0023624E"/>
    <w:rsid w:val="002502DD"/>
    <w:rsid w:val="00271485"/>
    <w:rsid w:val="002859D3"/>
    <w:rsid w:val="00292557"/>
    <w:rsid w:val="002952D9"/>
    <w:rsid w:val="002A114C"/>
    <w:rsid w:val="002A71E3"/>
    <w:rsid w:val="003207AF"/>
    <w:rsid w:val="00324A51"/>
    <w:rsid w:val="00374329"/>
    <w:rsid w:val="00384D31"/>
    <w:rsid w:val="003870CC"/>
    <w:rsid w:val="0039147F"/>
    <w:rsid w:val="003A7576"/>
    <w:rsid w:val="003B30CE"/>
    <w:rsid w:val="003B703E"/>
    <w:rsid w:val="003C6B19"/>
    <w:rsid w:val="003E4B39"/>
    <w:rsid w:val="003E7FA4"/>
    <w:rsid w:val="0040143F"/>
    <w:rsid w:val="00411E86"/>
    <w:rsid w:val="00414600"/>
    <w:rsid w:val="004233F0"/>
    <w:rsid w:val="0042586D"/>
    <w:rsid w:val="0043148E"/>
    <w:rsid w:val="00433966"/>
    <w:rsid w:val="004516FB"/>
    <w:rsid w:val="00452F0C"/>
    <w:rsid w:val="00454807"/>
    <w:rsid w:val="0045737D"/>
    <w:rsid w:val="00465681"/>
    <w:rsid w:val="00485A5A"/>
    <w:rsid w:val="004B7551"/>
    <w:rsid w:val="004C1269"/>
    <w:rsid w:val="004C16F7"/>
    <w:rsid w:val="004C7B37"/>
    <w:rsid w:val="004D0F87"/>
    <w:rsid w:val="004D2F51"/>
    <w:rsid w:val="004D623C"/>
    <w:rsid w:val="004E1969"/>
    <w:rsid w:val="004E28F1"/>
    <w:rsid w:val="00501F6C"/>
    <w:rsid w:val="005042AA"/>
    <w:rsid w:val="00512941"/>
    <w:rsid w:val="005141F8"/>
    <w:rsid w:val="0053132B"/>
    <w:rsid w:val="00545E23"/>
    <w:rsid w:val="00551DA8"/>
    <w:rsid w:val="00554936"/>
    <w:rsid w:val="00561E88"/>
    <w:rsid w:val="005765BA"/>
    <w:rsid w:val="00581083"/>
    <w:rsid w:val="00597EC2"/>
    <w:rsid w:val="005D124A"/>
    <w:rsid w:val="005D6C23"/>
    <w:rsid w:val="005F30E0"/>
    <w:rsid w:val="00621514"/>
    <w:rsid w:val="00623F69"/>
    <w:rsid w:val="0064320B"/>
    <w:rsid w:val="0065607D"/>
    <w:rsid w:val="00661DE2"/>
    <w:rsid w:val="0068125E"/>
    <w:rsid w:val="006935C7"/>
    <w:rsid w:val="006B2578"/>
    <w:rsid w:val="006B48B9"/>
    <w:rsid w:val="006B4EBB"/>
    <w:rsid w:val="006C1447"/>
    <w:rsid w:val="006E1A2A"/>
    <w:rsid w:val="006E6153"/>
    <w:rsid w:val="00700F0C"/>
    <w:rsid w:val="0070198A"/>
    <w:rsid w:val="00701D68"/>
    <w:rsid w:val="00731323"/>
    <w:rsid w:val="00733749"/>
    <w:rsid w:val="007417AE"/>
    <w:rsid w:val="007423E8"/>
    <w:rsid w:val="00743D8D"/>
    <w:rsid w:val="00754893"/>
    <w:rsid w:val="00756885"/>
    <w:rsid w:val="00756DC4"/>
    <w:rsid w:val="00761D7A"/>
    <w:rsid w:val="00767967"/>
    <w:rsid w:val="00780D33"/>
    <w:rsid w:val="0078258D"/>
    <w:rsid w:val="007A1090"/>
    <w:rsid w:val="007B3928"/>
    <w:rsid w:val="007B5608"/>
    <w:rsid w:val="007C6C07"/>
    <w:rsid w:val="007D338F"/>
    <w:rsid w:val="007F2235"/>
    <w:rsid w:val="00810659"/>
    <w:rsid w:val="00813CD0"/>
    <w:rsid w:val="0082412A"/>
    <w:rsid w:val="00851065"/>
    <w:rsid w:val="00855DEA"/>
    <w:rsid w:val="008570B1"/>
    <w:rsid w:val="00857AFC"/>
    <w:rsid w:val="0086432B"/>
    <w:rsid w:val="00875F6D"/>
    <w:rsid w:val="008769C5"/>
    <w:rsid w:val="00880E1E"/>
    <w:rsid w:val="00881FD2"/>
    <w:rsid w:val="008820BE"/>
    <w:rsid w:val="008876AF"/>
    <w:rsid w:val="00893E6F"/>
    <w:rsid w:val="008C189C"/>
    <w:rsid w:val="008C4569"/>
    <w:rsid w:val="008C688B"/>
    <w:rsid w:val="008D257C"/>
    <w:rsid w:val="008E6F58"/>
    <w:rsid w:val="008F6557"/>
    <w:rsid w:val="009034A4"/>
    <w:rsid w:val="00910283"/>
    <w:rsid w:val="0096705B"/>
    <w:rsid w:val="00971DE4"/>
    <w:rsid w:val="009A1FCC"/>
    <w:rsid w:val="009A5A04"/>
    <w:rsid w:val="009B3FC5"/>
    <w:rsid w:val="009D482B"/>
    <w:rsid w:val="009F5219"/>
    <w:rsid w:val="00A5461D"/>
    <w:rsid w:val="00A942B1"/>
    <w:rsid w:val="00A958EA"/>
    <w:rsid w:val="00AA1CF7"/>
    <w:rsid w:val="00AC6A5F"/>
    <w:rsid w:val="00AE6359"/>
    <w:rsid w:val="00AF1C05"/>
    <w:rsid w:val="00AF387F"/>
    <w:rsid w:val="00B02BEA"/>
    <w:rsid w:val="00B106E1"/>
    <w:rsid w:val="00B47867"/>
    <w:rsid w:val="00B62484"/>
    <w:rsid w:val="00B651C5"/>
    <w:rsid w:val="00B72ED2"/>
    <w:rsid w:val="00B75975"/>
    <w:rsid w:val="00B92B50"/>
    <w:rsid w:val="00B97EC2"/>
    <w:rsid w:val="00BC4F8A"/>
    <w:rsid w:val="00BC5033"/>
    <w:rsid w:val="00BC78A8"/>
    <w:rsid w:val="00BE1015"/>
    <w:rsid w:val="00C27BC5"/>
    <w:rsid w:val="00C408CF"/>
    <w:rsid w:val="00C41A7F"/>
    <w:rsid w:val="00C54512"/>
    <w:rsid w:val="00C55105"/>
    <w:rsid w:val="00C644F1"/>
    <w:rsid w:val="00C74BEF"/>
    <w:rsid w:val="00CC6B0E"/>
    <w:rsid w:val="00CE2296"/>
    <w:rsid w:val="00D23BFC"/>
    <w:rsid w:val="00D51EF7"/>
    <w:rsid w:val="00D57D1C"/>
    <w:rsid w:val="00D63BFD"/>
    <w:rsid w:val="00D84DD8"/>
    <w:rsid w:val="00D93D87"/>
    <w:rsid w:val="00DB0F39"/>
    <w:rsid w:val="00DB2E92"/>
    <w:rsid w:val="00DB5AE5"/>
    <w:rsid w:val="00DD1012"/>
    <w:rsid w:val="00DF44B2"/>
    <w:rsid w:val="00E01576"/>
    <w:rsid w:val="00E14403"/>
    <w:rsid w:val="00E25C9B"/>
    <w:rsid w:val="00E73AF4"/>
    <w:rsid w:val="00E81DB9"/>
    <w:rsid w:val="00E910DE"/>
    <w:rsid w:val="00EA6242"/>
    <w:rsid w:val="00EB1B79"/>
    <w:rsid w:val="00EB711B"/>
    <w:rsid w:val="00EC4E2A"/>
    <w:rsid w:val="00ED212E"/>
    <w:rsid w:val="00EE7CCA"/>
    <w:rsid w:val="00F0147F"/>
    <w:rsid w:val="00F11881"/>
    <w:rsid w:val="00F3376D"/>
    <w:rsid w:val="00F3656B"/>
    <w:rsid w:val="00F37DA6"/>
    <w:rsid w:val="00F44D35"/>
    <w:rsid w:val="00F511C6"/>
    <w:rsid w:val="00F520E5"/>
    <w:rsid w:val="00F73375"/>
    <w:rsid w:val="00F86F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3"/>
    <w:uiPriority w:val="99"/>
    <w:semiHidden/>
    <w:unhideWhenUsed/>
    <w:rsid w:val="009A1FCC"/>
    <w:pPr>
      <w:spacing w:line="240" w:lineRule="auto"/>
    </w:pPr>
    <w:rPr>
      <w:szCs w:val="20"/>
    </w:rPr>
  </w:style>
  <w:style w:type="character" w:customStyle="1" w:styleId="Char3">
    <w:name w:val="메모 텍스트 Char"/>
    <w:basedOn w:val="a0"/>
    <w:link w:val="a9"/>
    <w:uiPriority w:val="99"/>
    <w:semiHidden/>
    <w:rsid w:val="009A1FCC"/>
    <w:rPr>
      <w:szCs w:val="20"/>
    </w:rPr>
  </w:style>
  <w:style w:type="paragraph" w:styleId="aa">
    <w:name w:val="annotation subject"/>
    <w:basedOn w:val="a9"/>
    <w:next w:val="a9"/>
    <w:link w:val="Char4"/>
    <w:uiPriority w:val="99"/>
    <w:semiHidden/>
    <w:unhideWhenUsed/>
    <w:rsid w:val="009A1FCC"/>
    <w:rPr>
      <w:b/>
      <w:bCs/>
    </w:rPr>
  </w:style>
  <w:style w:type="character" w:customStyle="1" w:styleId="Char4">
    <w:name w:val="메모 주제 Char"/>
    <w:basedOn w:val="Char3"/>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paragraph" w:customStyle="1" w:styleId="xmsonormal">
    <w:name w:val="x_msonormal"/>
    <w:basedOn w:val="a"/>
    <w:uiPriority w:val="99"/>
    <w:rsid w:val="0078258D"/>
    <w:pPr>
      <w:widowControl/>
      <w:wordWrap/>
      <w:autoSpaceDE/>
      <w:autoSpaceDN/>
      <w:spacing w:after="0" w:line="240" w:lineRule="auto"/>
      <w:jc w:val="left"/>
    </w:pPr>
    <w:rPr>
      <w:rFonts w:ascii="PMingLiU" w:eastAsia="PMingLiU" w:hAnsi="SimSun" w:cs="SimSun"/>
      <w:kern w:val="0"/>
      <w:sz w:val="24"/>
      <w:szCs w:val="24"/>
      <w:lang w:eastAsia="zh-TW"/>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743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8D97C-41DA-4DD8-8718-85D3FBE23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Pages>
  <Words>1716</Words>
  <Characters>9783</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Jay KIM (LG Electronics)</cp:lastModifiedBy>
  <cp:revision>31</cp:revision>
  <dcterms:created xsi:type="dcterms:W3CDTF">2021-01-14T22:34:00Z</dcterms:created>
  <dcterms:modified xsi:type="dcterms:W3CDTF">2021-08-06T23:11:00Z</dcterms:modified>
</cp:coreProperties>
</file>